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BF" w:rsidRDefault="00D061BF" w:rsidP="00D061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D061BF" w:rsidRDefault="00D061BF" w:rsidP="00D061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 проведении закупки у единственного Поставщика </w:t>
      </w:r>
    </w:p>
    <w:p w:rsidR="00D061BF" w:rsidRDefault="00D061BF" w:rsidP="00D061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D061BF" w:rsidRDefault="00D061BF" w:rsidP="00D061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4974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 от «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16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декабря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2018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645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16FC6" w:rsidRDefault="00D061BF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7B039B" w:rsidRPr="00D16FC6" w:rsidRDefault="00D061BF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Рогожникова М. А.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D061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Марганец сернокислый (1 водный)</w:t>
            </w:r>
          </w:p>
          <w:p w:rsidR="00D061BF" w:rsidRPr="00616A54" w:rsidRDefault="00D061BF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D061BF">
              <w:rPr>
                <w:rFonts w:ascii="Times New Roman" w:hAnsi="Times New Roman"/>
                <w:sz w:val="24"/>
                <w:szCs w:val="24"/>
              </w:rPr>
              <w:t>20.00 т</w:t>
            </w:r>
            <w:r w:rsidR="0093147E">
              <w:rPr>
                <w:rFonts w:ascii="Times New Roman" w:hAnsi="Times New Roman"/>
                <w:sz w:val="24"/>
                <w:szCs w:val="24"/>
              </w:rPr>
              <w:t>онн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061BF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1BF">
              <w:rPr>
                <w:rFonts w:ascii="Times New Roman" w:hAnsi="Times New Roman"/>
                <w:sz w:val="24"/>
                <w:szCs w:val="24"/>
              </w:rPr>
              <w:t xml:space="preserve">должно соответствовать следующим техническим требованиям:  </w:t>
            </w:r>
          </w:p>
          <w:tbl>
            <w:tblPr>
              <w:tblW w:w="7394" w:type="dxa"/>
              <w:tblInd w:w="15" w:type="dxa"/>
              <w:tblLook w:val="04A0" w:firstRow="1" w:lastRow="0" w:firstColumn="1" w:lastColumn="0" w:noHBand="0" w:noVBand="1"/>
            </w:tblPr>
            <w:tblGrid>
              <w:gridCol w:w="1630"/>
              <w:gridCol w:w="693"/>
              <w:gridCol w:w="577"/>
              <w:gridCol w:w="676"/>
              <w:gridCol w:w="1626"/>
              <w:gridCol w:w="693"/>
              <w:gridCol w:w="774"/>
              <w:gridCol w:w="725"/>
            </w:tblGrid>
            <w:tr w:rsidR="00D061BF" w:rsidTr="00D061BF">
              <w:trPr>
                <w:trHeight w:val="217"/>
              </w:trPr>
              <w:tc>
                <w:tcPr>
                  <w:tcW w:w="7394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Описательные параметры</w:t>
                  </w:r>
                </w:p>
              </w:tc>
            </w:tr>
            <w:tr w:rsidR="00D061BF" w:rsidTr="00D061BF">
              <w:trPr>
                <w:trHeight w:hRule="exact" w:val="290"/>
              </w:trPr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Наименование параметра</w:t>
                  </w:r>
                </w:p>
              </w:tc>
              <w:tc>
                <w:tcPr>
                  <w:tcW w:w="205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значение</w:t>
                  </w:r>
                </w:p>
              </w:tc>
              <w:tc>
                <w:tcPr>
                  <w:tcW w:w="17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Наименование параметра</w:t>
                  </w:r>
                </w:p>
              </w:tc>
              <w:tc>
                <w:tcPr>
                  <w:tcW w:w="174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значение</w:t>
                  </w:r>
                </w:p>
              </w:tc>
            </w:tr>
            <w:tr w:rsidR="00D061BF" w:rsidTr="00D061BF">
              <w:trPr>
                <w:trHeight w:hRule="exact" w:val="219"/>
              </w:trPr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Внешний вид, состояние</w:t>
                  </w:r>
                </w:p>
              </w:tc>
              <w:tc>
                <w:tcPr>
                  <w:tcW w:w="205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Кристаллической порошок</w:t>
                  </w:r>
                </w:p>
              </w:tc>
              <w:tc>
                <w:tcPr>
                  <w:tcW w:w="17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Цвет</w:t>
                  </w:r>
                </w:p>
              </w:tc>
              <w:tc>
                <w:tcPr>
                  <w:tcW w:w="174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Светло- розовый</w:t>
                  </w:r>
                </w:p>
              </w:tc>
            </w:tr>
            <w:tr w:rsidR="00D061BF" w:rsidTr="00D061BF">
              <w:trPr>
                <w:trHeight w:hRule="exact" w:val="219"/>
              </w:trPr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маркировка</w:t>
                  </w:r>
                </w:p>
              </w:tc>
              <w:tc>
                <w:tcPr>
                  <w:tcW w:w="205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этикетка</w:t>
                  </w:r>
                </w:p>
              </w:tc>
              <w:tc>
                <w:tcPr>
                  <w:tcW w:w="3540" w:type="dxa"/>
                  <w:gridSpan w:val="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061BF" w:rsidTr="00D061BF">
              <w:trPr>
                <w:trHeight w:val="274"/>
              </w:trPr>
              <w:tc>
                <w:tcPr>
                  <w:tcW w:w="7394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Числовые параметры</w:t>
                  </w:r>
                </w:p>
              </w:tc>
            </w:tr>
            <w:tr w:rsidR="00D061BF" w:rsidTr="00D061BF">
              <w:trPr>
                <w:trHeight w:hRule="exact" w:val="274"/>
              </w:trPr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Наименование параметра</w:t>
                  </w: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типовое</w:t>
                  </w: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мин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макс</w:t>
                  </w:r>
                </w:p>
              </w:tc>
              <w:tc>
                <w:tcPr>
                  <w:tcW w:w="17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Наименование параметра</w:t>
                  </w: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типовое</w:t>
                  </w:r>
                </w:p>
              </w:tc>
              <w:tc>
                <w:tcPr>
                  <w:tcW w:w="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мин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макс</w:t>
                  </w:r>
                </w:p>
              </w:tc>
            </w:tr>
            <w:tr w:rsidR="00D061BF" w:rsidTr="00D061BF">
              <w:trPr>
                <w:trHeight w:hRule="exact" w:val="432"/>
              </w:trPr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Влага и </w:t>
                  </w:r>
                  <w:proofErr w:type="spellStart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лет.в-</w:t>
                  </w:r>
                  <w:proofErr w:type="gramStart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ва</w:t>
                  </w:r>
                  <w:proofErr w:type="spellEnd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,</w:t>
                  </w:r>
                  <w:proofErr w:type="gramEnd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0.50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7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Сод-е</w:t>
                  </w:r>
                  <w:proofErr w:type="gramEnd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основного в-</w:t>
                  </w:r>
                  <w:proofErr w:type="spellStart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ва</w:t>
                  </w:r>
                  <w:proofErr w:type="spellEnd"/>
                </w:p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(марганец сернокислый), г/т</w:t>
                  </w: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980000.00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992000.00</w:t>
                  </w:r>
                </w:p>
              </w:tc>
            </w:tr>
            <w:tr w:rsidR="00D061BF" w:rsidTr="00D061BF">
              <w:trPr>
                <w:trHeight w:hRule="exact" w:val="505"/>
              </w:trPr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Сод-е</w:t>
                  </w:r>
                  <w:proofErr w:type="gramEnd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основного в-</w:t>
                  </w:r>
                  <w:proofErr w:type="spellStart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ва</w:t>
                  </w:r>
                  <w:proofErr w:type="spellEnd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(марганец сернокислый</w:t>
                  </w:r>
                  <w:proofErr w:type="gramStart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) ,</w:t>
                  </w:r>
                  <w:proofErr w:type="gramEnd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98.00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99.20</w:t>
                  </w:r>
                </w:p>
              </w:tc>
              <w:tc>
                <w:tcPr>
                  <w:tcW w:w="17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Кальций,   </w:t>
                  </w:r>
                  <w:proofErr w:type="gramEnd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  %</w:t>
                  </w: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</w:tr>
            <w:tr w:rsidR="00D061BF" w:rsidTr="00D061BF">
              <w:trPr>
                <w:trHeight w:hRule="exact" w:val="219"/>
              </w:trPr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Натрий,   </w:t>
                  </w:r>
                  <w:proofErr w:type="gramEnd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   %</w:t>
                  </w: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7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Марганец,  г</w:t>
                  </w:r>
                  <w:proofErr w:type="gramEnd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/т</w:t>
                  </w: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318200.00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364000.00</w:t>
                  </w:r>
                </w:p>
              </w:tc>
            </w:tr>
            <w:tr w:rsidR="00D061BF" w:rsidTr="00D061BF">
              <w:trPr>
                <w:trHeight w:hRule="exact" w:val="219"/>
              </w:trPr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Цинк ,</w:t>
                  </w:r>
                  <w:proofErr w:type="gramEnd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    г/т</w:t>
                  </w: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7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Железо,   </w:t>
                  </w:r>
                  <w:proofErr w:type="gramEnd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г/т</w:t>
                  </w: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15.00</w:t>
                  </w:r>
                </w:p>
              </w:tc>
            </w:tr>
            <w:tr w:rsidR="00D061BF" w:rsidTr="00D061BF">
              <w:trPr>
                <w:trHeight w:hRule="exact" w:val="219"/>
              </w:trPr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Магний,   </w:t>
                  </w:r>
                  <w:proofErr w:type="gramEnd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г/т</w:t>
                  </w: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1000.00</w:t>
                  </w:r>
                </w:p>
              </w:tc>
              <w:tc>
                <w:tcPr>
                  <w:tcW w:w="17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Сера,   </w:t>
                  </w:r>
                  <w:proofErr w:type="gramEnd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 г/т</w:t>
                  </w: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185562.00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188876,00</w:t>
                  </w:r>
                </w:p>
              </w:tc>
            </w:tr>
            <w:tr w:rsidR="00D061BF" w:rsidTr="00D061BF">
              <w:trPr>
                <w:trHeight w:hRule="exact" w:val="219"/>
              </w:trPr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Свинец ,г</w:t>
                  </w:r>
                  <w:proofErr w:type="gramEnd"/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/т</w:t>
                  </w: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10.00</w:t>
                  </w:r>
                </w:p>
              </w:tc>
              <w:tc>
                <w:tcPr>
                  <w:tcW w:w="17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Мышьяк, г/т</w:t>
                  </w: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5.00</w:t>
                  </w:r>
                </w:p>
              </w:tc>
            </w:tr>
            <w:tr w:rsidR="00D061BF" w:rsidTr="00D061BF">
              <w:trPr>
                <w:trHeight w:hRule="exact" w:val="219"/>
              </w:trPr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Кадмий, г/т</w:t>
                  </w: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D061BF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17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1BF" w:rsidRPr="00D061BF" w:rsidRDefault="00D061BF" w:rsidP="00D06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061BF" w:rsidRDefault="00D061B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остальным показателям товар должен соответствовать требованиям ТУ, ГОСТ 435-77.</w:t>
            </w:r>
          </w:p>
          <w:p w:rsidR="00D061BF" w:rsidRDefault="00D061B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приемки и метод отбора проб проводится в соответствии с ГОСТ ИСО-6497-2011.</w:t>
            </w:r>
          </w:p>
          <w:p w:rsidR="00D061BF" w:rsidRDefault="00D061B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товара: Китай.</w:t>
            </w:r>
          </w:p>
          <w:p w:rsidR="00D061BF" w:rsidRDefault="00D061B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D061BF" w:rsidRDefault="00D061B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F7607" w:rsidRPr="00616A54" w:rsidRDefault="00D061B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полипропиленовые не ламинированные мешки емкость нетто 25 килограмм.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</w:t>
            </w:r>
            <w:r w:rsidRPr="0060273D">
              <w:rPr>
                <w:rFonts w:ascii="Times New Roman" w:hAnsi="Times New Roman"/>
                <w:sz w:val="24"/>
              </w:rPr>
              <w:lastRenderedPageBreak/>
              <w:t xml:space="preserve">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6A69C4" w:rsidP="00D0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616A54">
              <w:rPr>
                <w:rFonts w:ascii="Times New Roman" w:hAnsi="Times New Roman"/>
                <w:sz w:val="24"/>
              </w:rPr>
              <w:t xml:space="preserve">до </w:t>
            </w:r>
            <w:r w:rsidR="00D061BF">
              <w:rPr>
                <w:rFonts w:ascii="Times New Roman" w:hAnsi="Times New Roman"/>
                <w:sz w:val="24"/>
                <w:lang w:val="en-US"/>
              </w:rPr>
              <w:t>31.12.2018г.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D061BF" w:rsidRDefault="00D061BF" w:rsidP="00D0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1 062</w:t>
            </w:r>
            <w:r w:rsidR="00736804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540</w:t>
            </w:r>
            <w:r w:rsidR="0073680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рублей 00 копеек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D061B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>Оплата в течение 30 (тридцати) календарных дней с момента получения товара на склад Заказчика</w:t>
            </w:r>
            <w:r w:rsidR="000B5C0F"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Требования к участникам закупки и перечень документов, представляемых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D061BF" w:rsidP="00D0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Default="00D061B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C3A" w:rsidRDefault="004C6DDB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F6C3A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 1</w:t>
      </w:r>
      <w:r w:rsidR="00DF6C3A" w:rsidRPr="00DF6C3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1D3871" w:rsidRDefault="00DF6C3A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D061BF">
        <w:rPr>
          <w:rFonts w:ascii="Times New Roman" w:hAnsi="Times New Roman"/>
          <w:b/>
          <w:smallCaps/>
          <w:sz w:val="24"/>
          <w:szCs w:val="24"/>
        </w:rPr>
        <w:t>4974/4Е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Е от </w:t>
      </w:r>
      <w:r w:rsidR="00D061B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16.12.2018 г.</w:t>
      </w: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Договора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Pr="001A4E14" w:rsidRDefault="00D061BF" w:rsidP="00D061BF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1A4E14"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D061BF" w:rsidRPr="001A4E14" w:rsidRDefault="00D061BF" w:rsidP="00D061BF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1A4E14">
        <w:rPr>
          <w:rFonts w:ascii="Times New Roman" w:hAnsi="Times New Roman"/>
          <w:sz w:val="24"/>
        </w:rPr>
        <w:t>(поставки)</w:t>
      </w:r>
    </w:p>
    <w:p w:rsidR="00D061BF" w:rsidRDefault="00D061BF" w:rsidP="00D061B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A4E14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1A4E14">
        <w:rPr>
          <w:rFonts w:ascii="Times New Roman" w:hAnsi="Times New Roman"/>
          <w:sz w:val="24"/>
        </w:rPr>
        <w:t xml:space="preserve">   «</w:t>
      </w:r>
      <w:proofErr w:type="gramEnd"/>
      <w:r w:rsidRPr="001A4E14">
        <w:rPr>
          <w:rFonts w:ascii="Times New Roman" w:hAnsi="Times New Roman"/>
          <w:sz w:val="24"/>
        </w:rPr>
        <w:t>__» _____ 201</w:t>
      </w:r>
      <w:r>
        <w:rPr>
          <w:rFonts w:ascii="Times New Roman" w:hAnsi="Times New Roman"/>
          <w:sz w:val="24"/>
        </w:rPr>
        <w:t>___</w:t>
      </w:r>
      <w:r w:rsidRPr="001A4E14">
        <w:rPr>
          <w:rFonts w:ascii="Times New Roman" w:hAnsi="Times New Roman"/>
          <w:sz w:val="24"/>
        </w:rPr>
        <w:t xml:space="preserve"> г.</w:t>
      </w:r>
    </w:p>
    <w:p w:rsidR="00D061BF" w:rsidRPr="001A4E14" w:rsidRDefault="00D061BF" w:rsidP="00D061B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61BF" w:rsidRPr="001A4E14" w:rsidRDefault="00D061BF" w:rsidP="00D0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4E14">
        <w:rPr>
          <w:rFonts w:ascii="Times New Roman" w:eastAsiaTheme="minorHAnsi" w:hAnsi="Times New Roman"/>
          <w:b/>
          <w:bCs/>
          <w:sz w:val="24"/>
          <w:szCs w:val="24"/>
        </w:rPr>
        <w:t>Открытое акционерное общество «Богдановичский комбикормовый завод»</w:t>
      </w:r>
      <w:r w:rsidRPr="001A4E14">
        <w:rPr>
          <w:rFonts w:ascii="Times New Roman" w:eastAsiaTheme="minorHAnsi" w:hAnsi="Times New Roman"/>
          <w:sz w:val="24"/>
          <w:szCs w:val="24"/>
        </w:rPr>
        <w:t xml:space="preserve">, именуемое в дальнейшем «Покупатель», в лице </w:t>
      </w:r>
      <w:r>
        <w:rPr>
          <w:rFonts w:ascii="Times New Roman" w:eastAsiaTheme="minorHAnsi" w:hAnsi="Times New Roman"/>
          <w:sz w:val="24"/>
          <w:szCs w:val="24"/>
        </w:rPr>
        <w:t>________</w:t>
      </w:r>
      <w:r w:rsidRPr="001A4E14">
        <w:rPr>
          <w:rFonts w:ascii="Times New Roman" w:eastAsiaTheme="minorHAnsi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Theme="minorHAnsi" w:hAnsi="Times New Roman"/>
          <w:sz w:val="24"/>
          <w:szCs w:val="24"/>
        </w:rPr>
        <w:t>_______</w:t>
      </w:r>
      <w:r w:rsidRPr="001A4E14">
        <w:rPr>
          <w:rFonts w:ascii="Times New Roman" w:eastAsiaTheme="minorHAnsi" w:hAnsi="Times New Roman"/>
          <w:sz w:val="24"/>
          <w:szCs w:val="24"/>
        </w:rPr>
        <w:t>, с одной стороны, и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4E14">
        <w:rPr>
          <w:rFonts w:ascii="Times New Roman" w:eastAsiaTheme="minorHAnsi" w:hAnsi="Times New Roman"/>
          <w:b/>
          <w:bCs/>
          <w:sz w:val="24"/>
          <w:szCs w:val="24"/>
        </w:rPr>
        <w:t>__________________________</w:t>
      </w:r>
      <w:r w:rsidRPr="001A4E14">
        <w:rPr>
          <w:rFonts w:ascii="Times New Roman" w:eastAsiaTheme="minorHAnsi" w:hAnsi="Times New Roman"/>
          <w:sz w:val="24"/>
          <w:szCs w:val="24"/>
        </w:rPr>
        <w:t xml:space="preserve">, именуемое в дальнейшем «Поставщик», в лице __________________________________________, действующего на основании </w:t>
      </w:r>
      <w:r>
        <w:rPr>
          <w:rFonts w:ascii="Times New Roman" w:eastAsiaTheme="minorHAnsi" w:hAnsi="Times New Roman"/>
          <w:sz w:val="24"/>
          <w:szCs w:val="24"/>
        </w:rPr>
        <w:t>_______</w:t>
      </w:r>
      <w:r w:rsidRPr="001A4E14">
        <w:rPr>
          <w:rFonts w:ascii="Times New Roman" w:eastAsiaTheme="minorHAnsi" w:hAnsi="Times New Roman"/>
          <w:sz w:val="24"/>
          <w:szCs w:val="24"/>
        </w:rPr>
        <w:t>, с другой стороны, вместе именуемые Стороны, на основании протокола №________ от «__» ____________ 201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1A4E14">
        <w:rPr>
          <w:rFonts w:ascii="Times New Roman" w:eastAsiaTheme="minorHAnsi" w:hAnsi="Times New Roman"/>
          <w:sz w:val="24"/>
          <w:szCs w:val="24"/>
        </w:rPr>
        <w:t xml:space="preserve"> г., заключили настоящий договор о нижеследующем: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caps/>
          <w:sz w:val="10"/>
          <w:szCs w:val="10"/>
        </w:rPr>
      </w:pPr>
    </w:p>
    <w:p w:rsidR="00D061BF" w:rsidRPr="001A4E14" w:rsidRDefault="00D061BF" w:rsidP="00D061BF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1A4E14">
        <w:rPr>
          <w:rFonts w:ascii="Times New Roman" w:hAnsi="Times New Roman"/>
          <w:b/>
          <w:caps/>
          <w:sz w:val="24"/>
        </w:rPr>
        <w:t>1.Предмет договора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1A4E14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9193638"/>
    <w:bookmarkEnd w:id="1"/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lang w:eastAsia="zh-CN"/>
        </w:rPr>
        <w:object w:dxaOrig="11152" w:dyaOrig="1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96.75pt" o:ole="">
            <v:imagedata r:id="rId8" o:title=""/>
          </v:shape>
          <o:OLEObject Type="Embed" ProgID="Excel.Sheet.12" ShapeID="_x0000_i1025" DrawAspect="Content" ObjectID="_1606715327" r:id="rId9"/>
        </w:object>
      </w:r>
      <w:r w:rsidRPr="001A4E14">
        <w:rPr>
          <w:rFonts w:ascii="Times New Roman" w:hAnsi="Times New Roman"/>
          <w:sz w:val="24"/>
          <w:szCs w:val="24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10"/>
          <w:szCs w:val="10"/>
          <w:lang w:eastAsia="zh-CN"/>
        </w:rPr>
      </w:pPr>
    </w:p>
    <w:p w:rsidR="00D061BF" w:rsidRPr="001A4E14" w:rsidRDefault="00D061BF" w:rsidP="00D061B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1A4E14">
        <w:rPr>
          <w:rFonts w:ascii="Times New Roman" w:hAnsi="Times New Roman"/>
          <w:b/>
          <w:sz w:val="24"/>
          <w:szCs w:val="24"/>
          <w:lang w:eastAsia="zh-CN"/>
        </w:rPr>
        <w:t>КАЧЕСТВО ТОВАРА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товара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следующим техническим требованиям:  </w:t>
      </w:r>
    </w:p>
    <w:tbl>
      <w:tblPr>
        <w:tblW w:w="1053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9"/>
        <w:gridCol w:w="853"/>
        <w:gridCol w:w="853"/>
        <w:gridCol w:w="853"/>
        <w:gridCol w:w="2560"/>
        <w:gridCol w:w="853"/>
        <w:gridCol w:w="853"/>
        <w:gridCol w:w="854"/>
        <w:gridCol w:w="284"/>
      </w:tblGrid>
      <w:tr w:rsidR="00D061BF" w:rsidRPr="001A4E14" w:rsidTr="002D439F">
        <w:trPr>
          <w:trHeight w:hRule="exact" w:val="217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Описательные параметры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061BF" w:rsidRPr="001A4E14" w:rsidTr="002D439F">
        <w:trPr>
          <w:trHeight w:hRule="exact" w:val="290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061BF" w:rsidRPr="001A4E14" w:rsidTr="002D439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Внешний вид, состояние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Кристаллической порошок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Светло- розовый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D061BF" w:rsidRPr="001A4E14" w:rsidTr="002D439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маркировка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этикетка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D061BF" w:rsidRPr="001A4E14" w:rsidTr="002D439F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Числовые параметры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061BF" w:rsidRPr="001A4E14" w:rsidTr="002D439F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061BF" w:rsidRPr="001A4E14" w:rsidTr="002D439F">
        <w:trPr>
          <w:trHeight w:hRule="exact" w:val="432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Влага и </w:t>
            </w:r>
            <w:proofErr w:type="spell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лет.в-</w:t>
            </w: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,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Сод-е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основного в-</w:t>
            </w:r>
            <w:proofErr w:type="spell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</w:p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(марганец сернокислый),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980000.00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992000.00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D061BF" w:rsidRPr="001A4E14" w:rsidTr="002D439F">
        <w:trPr>
          <w:trHeight w:hRule="exact" w:val="505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Сод-е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основного в-</w:t>
            </w:r>
            <w:proofErr w:type="spell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</w:p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(марганец сернокислый</w:t>
            </w: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 ,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99.20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Кальций,   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D061BF" w:rsidRPr="001A4E14" w:rsidTr="002D439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Натрий,   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Марганец,  г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318200.00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364000.00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D061BF" w:rsidRPr="001A4E14" w:rsidTr="002D439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Цинк ,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Железо,   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D061BF" w:rsidRPr="001A4E14" w:rsidTr="002D439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Магний,   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Сера,   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185562.00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188876,00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D061BF" w:rsidRPr="001A4E14" w:rsidTr="002D439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Свинец ,г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Мышьяк,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D061BF" w:rsidRPr="001A4E14" w:rsidTr="002D439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Кадмий,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1BF" w:rsidRPr="001A4E14" w:rsidRDefault="00D061BF" w:rsidP="002D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</w:tbl>
    <w:p w:rsidR="00D061BF" w:rsidRPr="001A4E14" w:rsidRDefault="00D061BF" w:rsidP="00D061B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lastRenderedPageBreak/>
        <w:t xml:space="preserve">По остальным показателям товар должен соответствовать требованиям </w:t>
      </w:r>
      <w:r>
        <w:rPr>
          <w:rFonts w:ascii="Times New Roman" w:hAnsi="Times New Roman"/>
          <w:sz w:val="24"/>
          <w:szCs w:val="24"/>
          <w:lang w:eastAsia="zh-CN"/>
        </w:rPr>
        <w:t>ТУ ____</w:t>
      </w:r>
      <w:r w:rsidRPr="00833690">
        <w:rPr>
          <w:rFonts w:ascii="Times New Roman" w:hAnsi="Times New Roman"/>
          <w:sz w:val="24"/>
          <w:szCs w:val="24"/>
          <w:lang w:eastAsia="zh-CN"/>
        </w:rPr>
        <w:t>, ГОСТ 435-77.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Правила приемки и метод отбора проб проводится в соответствии с ГОСТ ИСО-6497-2011.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Происхождение товара: Китай.</w:t>
      </w:r>
    </w:p>
    <w:p w:rsidR="00D061BF" w:rsidRPr="001A4E14" w:rsidRDefault="00D061BF" w:rsidP="00D06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2.2. </w:t>
      </w:r>
      <w:r w:rsidRPr="001A4E14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D061BF" w:rsidRPr="001A4E14" w:rsidRDefault="00D061BF" w:rsidP="00D06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D061BF" w:rsidRPr="001A4E14" w:rsidRDefault="00D061BF" w:rsidP="00D061BF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zh-CN"/>
        </w:rPr>
      </w:pPr>
    </w:p>
    <w:p w:rsidR="00D061BF" w:rsidRPr="001A4E14" w:rsidRDefault="00D061BF" w:rsidP="00D061B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3. УСЛОВИЯ ПОСТАВКИ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D061BF" w:rsidRDefault="00D061BF" w:rsidP="00D06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4E14">
        <w:rPr>
          <w:rFonts w:ascii="Times New Roman" w:hAnsi="Times New Roman" w:cs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D061BF" w:rsidRPr="00256F1E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 xml:space="preserve">3.2.1. Срок поставки: </w:t>
      </w:r>
      <w:r>
        <w:rPr>
          <w:rFonts w:ascii="Times New Roman" w:hAnsi="Times New Roman"/>
          <w:sz w:val="24"/>
          <w:szCs w:val="24"/>
          <w:lang w:eastAsia="zh-CN"/>
        </w:rPr>
        <w:t>______________________</w:t>
      </w:r>
      <w:r w:rsidRPr="00256F1E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полипропиленовые не ламинированные мешки емкость нетто 25 килограмм.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 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D061BF" w:rsidRPr="001A4E14" w:rsidRDefault="00D061BF" w:rsidP="00D061B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D061BF" w:rsidRPr="001A4E14" w:rsidRDefault="00D061BF" w:rsidP="00D061B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</w:t>
      </w:r>
      <w:r w:rsidRPr="001A4E14">
        <w:rPr>
          <w:rFonts w:ascii="Times New Roman" w:hAnsi="Times New Roman"/>
          <w:sz w:val="24"/>
          <w:szCs w:val="24"/>
          <w:lang w:eastAsia="zh-CN"/>
        </w:rPr>
        <w:lastRenderedPageBreak/>
        <w:t>Постановлениями Госарбитража СССР от 15 июня 1965 г., от 25 апреля 1966 г., (с дополнениями и изменениями).</w:t>
      </w:r>
    </w:p>
    <w:p w:rsidR="00D061BF" w:rsidRPr="001A4E14" w:rsidRDefault="00D061BF" w:rsidP="00D061B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5.7. Проценты на сумму отсрочки оплаты товара не начисляются и не уплачиваются.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061BF" w:rsidRPr="001A4E14" w:rsidRDefault="00D061BF" w:rsidP="00D061B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товара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6.4. Право «Покупателя» потребовать выплаты неустойки за просрочку поставки и/или отгрузки, за </w:t>
      </w:r>
      <w:proofErr w:type="spellStart"/>
      <w:r w:rsidRPr="001A4E14">
        <w:rPr>
          <w:rFonts w:ascii="Times New Roman" w:hAnsi="Times New Roman"/>
          <w:sz w:val="24"/>
          <w:szCs w:val="24"/>
          <w:lang w:eastAsia="zh-CN"/>
        </w:rPr>
        <w:t>непоставку</w:t>
      </w:r>
      <w:proofErr w:type="spell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lastRenderedPageBreak/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D061BF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6.13.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D061BF" w:rsidRPr="00256F1E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6.14</w:t>
      </w:r>
      <w:r w:rsidRPr="00256F1E">
        <w:rPr>
          <w:rFonts w:ascii="Times New Roman" w:hAnsi="Times New Roman"/>
          <w:sz w:val="24"/>
          <w:szCs w:val="24"/>
        </w:rPr>
        <w:t xml:space="preserve">. «Покупатель» не несет ответственности, в случае если в течение срока действия </w:t>
      </w:r>
      <w:proofErr w:type="gramStart"/>
      <w:r w:rsidRPr="00256F1E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256F1E">
        <w:rPr>
          <w:rFonts w:ascii="Times New Roman" w:hAnsi="Times New Roman"/>
          <w:sz w:val="24"/>
          <w:szCs w:val="24"/>
        </w:rPr>
        <w:t xml:space="preserve"> указанного в п. 8.</w:t>
      </w:r>
      <w:r>
        <w:rPr>
          <w:rFonts w:ascii="Times New Roman" w:hAnsi="Times New Roman"/>
          <w:sz w:val="24"/>
          <w:szCs w:val="24"/>
        </w:rPr>
        <w:t>4.</w:t>
      </w:r>
      <w:r w:rsidRPr="00256F1E">
        <w:rPr>
          <w:rFonts w:ascii="Times New Roman" w:hAnsi="Times New Roman"/>
          <w:sz w:val="24"/>
          <w:szCs w:val="24"/>
        </w:rPr>
        <w:t xml:space="preserve"> «Покупатель» не направил ни одной заявки в соответствии с п. 3.2.1 или количество по направленной заявке меньше количества согласованного в настоящем договоре.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061BF" w:rsidRPr="001A4E14" w:rsidRDefault="00D061BF" w:rsidP="00D061B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061BF" w:rsidRPr="001A4E14" w:rsidRDefault="00D061BF" w:rsidP="00D061B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1A4E14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1A4E1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7г</w:t>
      </w:r>
      <w:r w:rsidRPr="001A4E14">
        <w:rPr>
          <w:rFonts w:ascii="Times New Roman" w:hAnsi="Times New Roman"/>
          <w:sz w:val="24"/>
          <w:szCs w:val="24"/>
        </w:rPr>
        <w:t>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1A4E14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1A4E14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4E14">
        <w:rPr>
          <w:rFonts w:ascii="Times New Roman" w:eastAsiaTheme="minorHAnsi" w:hAnsi="Times New Roman"/>
          <w:sz w:val="24"/>
          <w:szCs w:val="24"/>
        </w:rPr>
        <w:t xml:space="preserve"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</w:t>
      </w:r>
      <w:r w:rsidRPr="001A4E14">
        <w:rPr>
          <w:rFonts w:ascii="Times New Roman" w:eastAsiaTheme="minorHAnsi" w:hAnsi="Times New Roman"/>
          <w:sz w:val="24"/>
          <w:szCs w:val="24"/>
        </w:rPr>
        <w:lastRenderedPageBreak/>
        <w:t>(адресату), но по обстоятельствам, зависящим от него, не было ему вручено или адресат не ознакомился с ним.</w:t>
      </w: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eastAsiaTheme="minorHAnsi" w:hAnsi="Times New Roman"/>
          <w:sz w:val="24"/>
          <w:szCs w:val="24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D061BF" w:rsidRDefault="00D061BF" w:rsidP="00D061BF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061BF" w:rsidRDefault="00D061BF" w:rsidP="00D061BF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061BF" w:rsidRPr="001A4E14" w:rsidRDefault="00D061BF" w:rsidP="00D061BF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E14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D061BF" w:rsidRPr="001A4E14" w:rsidTr="002D439F">
        <w:tc>
          <w:tcPr>
            <w:tcW w:w="4927" w:type="dxa"/>
            <w:shd w:val="clear" w:color="auto" w:fill="auto"/>
          </w:tcPr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D061BF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Свердловская область,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Богдановичский р-он, </w:t>
            </w: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г. Богданович, ул. Степана Разина, 64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663301001</w:t>
            </w:r>
          </w:p>
          <w:p w:rsidR="00D061BF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D061BF" w:rsidRPr="00A25A82" w:rsidRDefault="00D061BF" w:rsidP="002D43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A82">
              <w:rPr>
                <w:rFonts w:ascii="Times New Roman" w:eastAsia="Times New Roman" w:hAnsi="Times New Roman"/>
                <w:lang w:eastAsia="ru-RU"/>
              </w:rPr>
              <w:t>Р/с 40702810600020000713</w:t>
            </w:r>
          </w:p>
          <w:p w:rsidR="00D061BF" w:rsidRPr="00A25A82" w:rsidRDefault="00D061BF" w:rsidP="002D43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A82">
              <w:rPr>
                <w:rFonts w:ascii="Times New Roman" w:eastAsia="Times New Roman" w:hAnsi="Times New Roman"/>
                <w:lang w:eastAsia="ru-RU"/>
              </w:rPr>
              <w:t xml:space="preserve">Екатеринбургский филиал </w:t>
            </w:r>
          </w:p>
          <w:p w:rsidR="00D061BF" w:rsidRPr="00A25A82" w:rsidRDefault="00D061BF" w:rsidP="002D43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A82">
              <w:rPr>
                <w:rFonts w:ascii="Times New Roman" w:eastAsia="Times New Roman" w:hAnsi="Times New Roman"/>
                <w:lang w:eastAsia="ru-RU"/>
              </w:rPr>
              <w:t>ПАО АКБ «СВЯЗЬ-БАНК»</w:t>
            </w:r>
          </w:p>
          <w:p w:rsidR="00D061BF" w:rsidRPr="00A25A82" w:rsidRDefault="00D061BF" w:rsidP="002D43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A82">
              <w:rPr>
                <w:rFonts w:ascii="Times New Roman" w:eastAsia="Times New Roman" w:hAnsi="Times New Roman"/>
                <w:lang w:eastAsia="ru-RU"/>
              </w:rPr>
              <w:t>БИК 046577959, К/с 30101810500000000959.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556-81    </w:t>
            </w:r>
          </w:p>
          <w:p w:rsidR="00D061BF" w:rsidRPr="00D061BF" w:rsidRDefault="00D061BF" w:rsidP="002D43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D061BF">
              <w:rPr>
                <w:rFonts w:ascii="Times New Roman" w:hAnsi="Times New Roman"/>
                <w:sz w:val="24"/>
                <w:szCs w:val="24"/>
                <w:lang w:val="en-US" w:eastAsia="zh-CN"/>
              </w:rPr>
              <w:t>-</w:t>
            </w:r>
            <w:r w:rsidRPr="001A4E14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D061BF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: </w:t>
            </w:r>
            <w:r w:rsidRPr="001A4E14">
              <w:rPr>
                <w:rFonts w:ascii="Times New Roman" w:hAnsi="Times New Roman"/>
                <w:sz w:val="24"/>
                <w:szCs w:val="24"/>
                <w:lang w:val="en-US" w:eastAsia="zh-CN"/>
              </w:rPr>
              <w:t>omts</w:t>
            </w:r>
            <w:r w:rsidRPr="00D061BF">
              <w:rPr>
                <w:rFonts w:ascii="Times New Roman" w:hAnsi="Times New Roman"/>
                <w:sz w:val="24"/>
                <w:szCs w:val="24"/>
                <w:lang w:val="en-US" w:eastAsia="zh-CN"/>
              </w:rPr>
              <w:t>@</w:t>
            </w:r>
            <w:r w:rsidRPr="001A4E14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combikorm</w:t>
            </w:r>
            <w:r w:rsidRPr="00D061BF">
              <w:rPr>
                <w:rFonts w:ascii="Times New Roman" w:hAnsi="Times New Roman"/>
                <w:sz w:val="24"/>
                <w:szCs w:val="24"/>
                <w:lang w:val="en-US" w:eastAsia="zh-CN"/>
              </w:rPr>
              <w:t>.</w:t>
            </w:r>
            <w:r w:rsidRPr="001A4E14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  <w:r w:rsidRPr="00D061BF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, </w:t>
            </w:r>
            <w:hyperlink r:id="rId10" w:history="1">
              <w:r w:rsidRPr="001A4E14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D061BF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@</w:t>
              </w:r>
              <w:r w:rsidRPr="001A4E14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D061BF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.</w:t>
              </w:r>
              <w:r w:rsidRPr="001A4E14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D061BF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          </w:t>
            </w:r>
          </w:p>
          <w:p w:rsidR="00D061BF" w:rsidRPr="00D061BF" w:rsidRDefault="00D061BF" w:rsidP="002D43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D061BF" w:rsidRPr="00D061BF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«ПОСТАВЩИК»: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______________________________________________________________________________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______________________________________________________________________________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Место нахождения: _________________________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ИНН __________, КПП _________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ОГРН _____________, ОКПО ________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Р/с ____________________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К/с ____________________, БИК __________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Тел./факс</w:t>
            </w: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e-mail:</w:t>
            </w:r>
          </w:p>
        </w:tc>
      </w:tr>
      <w:tr w:rsidR="00D061BF" w:rsidRPr="001A4E14" w:rsidTr="002D439F">
        <w:tc>
          <w:tcPr>
            <w:tcW w:w="4927" w:type="dxa"/>
            <w:shd w:val="clear" w:color="auto" w:fill="auto"/>
          </w:tcPr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</w:t>
            </w:r>
          </w:p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D061BF" w:rsidRPr="001A4E14" w:rsidRDefault="00D061BF" w:rsidP="002D43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061BF" w:rsidRPr="001A4E14" w:rsidRDefault="00D061BF" w:rsidP="00D061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061BF" w:rsidRPr="00A30D2D" w:rsidRDefault="00D061BF" w:rsidP="00D061BF">
      <w:pPr>
        <w:rPr>
          <w:smallCaps/>
          <w:sz w:val="24"/>
          <w:szCs w:val="24"/>
        </w:rPr>
      </w:pPr>
    </w:p>
    <w:p w:rsidR="00D061BF" w:rsidRDefault="00D061BF" w:rsidP="00D061BF">
      <w:pPr>
        <w:rPr>
          <w:sz w:val="24"/>
          <w:szCs w:val="24"/>
        </w:rPr>
      </w:pPr>
    </w:p>
    <w:p w:rsidR="00D061BF" w:rsidRDefault="00D061BF" w:rsidP="00D061B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C56F5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67" w:rsidRDefault="004F6667" w:rsidP="00D72456">
      <w:pPr>
        <w:spacing w:after="0" w:line="240" w:lineRule="auto"/>
      </w:pPr>
      <w:r>
        <w:separator/>
      </w:r>
    </w:p>
  </w:endnote>
  <w:end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67" w:rsidRDefault="004F6667" w:rsidP="00D72456">
      <w:pPr>
        <w:spacing w:after="0" w:line="240" w:lineRule="auto"/>
      </w:pPr>
      <w:r>
        <w:separator/>
      </w:r>
    </w:p>
  </w:footnote>
  <w:foot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36804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147E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1BF"/>
    <w:rsid w:val="00D06D40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3B37E-E618-480F-8A06-9D82A0F8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ab@combikorm.ru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4DD0-3D0C-473B-B4F5-2A2D8216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19462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3</cp:revision>
  <cp:lastPrinted>2018-12-19T03:44:00Z</cp:lastPrinted>
  <dcterms:created xsi:type="dcterms:W3CDTF">2018-12-19T03:44:00Z</dcterms:created>
  <dcterms:modified xsi:type="dcterms:W3CDTF">2018-12-19T04:02:00Z</dcterms:modified>
</cp:coreProperties>
</file>