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015F2">
        <w:rPr>
          <w:b/>
          <w:bCs/>
          <w:smallCaps/>
          <w:kern w:val="36"/>
          <w:sz w:val="28"/>
          <w:szCs w:val="48"/>
        </w:rPr>
        <w:t>292</w:t>
      </w:r>
      <w:r w:rsidR="0053777F">
        <w:rPr>
          <w:b/>
          <w:bCs/>
          <w:smallCaps/>
          <w:kern w:val="36"/>
          <w:sz w:val="28"/>
          <w:szCs w:val="48"/>
        </w:rPr>
        <w:t>9</w:t>
      </w:r>
      <w:r w:rsidRPr="0055654F">
        <w:rPr>
          <w:b/>
          <w:bCs/>
          <w:smallCaps/>
          <w:kern w:val="36"/>
          <w:sz w:val="28"/>
          <w:szCs w:val="48"/>
        </w:rPr>
        <w:t xml:space="preserve"> от «</w:t>
      </w:r>
      <w:r w:rsidR="0053777F">
        <w:rPr>
          <w:b/>
          <w:bCs/>
          <w:smallCaps/>
          <w:kern w:val="36"/>
          <w:sz w:val="28"/>
          <w:szCs w:val="48"/>
        </w:rPr>
        <w:t>0</w:t>
      </w:r>
      <w:r w:rsidR="00D015F2">
        <w:rPr>
          <w:b/>
          <w:bCs/>
          <w:smallCaps/>
          <w:kern w:val="36"/>
          <w:sz w:val="28"/>
          <w:szCs w:val="48"/>
        </w:rPr>
        <w:t>3</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июн</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54318"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250.00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315849">
            <w:pPr>
              <w:jc w:val="both"/>
              <w:rPr>
                <w:sz w:val="24"/>
              </w:rPr>
            </w:pPr>
            <w:r>
              <w:rPr>
                <w:sz w:val="24"/>
              </w:rPr>
              <w:t xml:space="preserve">до </w:t>
            </w:r>
            <w:r w:rsidR="00D015F2">
              <w:rPr>
                <w:sz w:val="24"/>
              </w:rPr>
              <w:t>2</w:t>
            </w:r>
            <w:r w:rsidR="00315849">
              <w:rPr>
                <w:sz w:val="24"/>
              </w:rPr>
              <w:t>5</w:t>
            </w:r>
            <w:r>
              <w:rPr>
                <w:sz w:val="24"/>
              </w:rPr>
              <w:t>.</w:t>
            </w:r>
            <w:r w:rsidR="00D015F2">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3777F" w:rsidP="00854318">
            <w:pPr>
              <w:jc w:val="both"/>
              <w:rPr>
                <w:sz w:val="24"/>
              </w:rPr>
            </w:pPr>
            <w:r>
              <w:rPr>
                <w:sz w:val="24"/>
              </w:rPr>
              <w:t>1</w:t>
            </w:r>
            <w:r w:rsidR="00854318">
              <w:rPr>
                <w:sz w:val="24"/>
              </w:rPr>
              <w:t> 931 818</w:t>
            </w:r>
            <w:r w:rsidR="00C201C6">
              <w:rPr>
                <w:sz w:val="24"/>
              </w:rPr>
              <w:t xml:space="preserve"> рубл</w:t>
            </w:r>
            <w:r w:rsidR="00854318">
              <w:rPr>
                <w:sz w:val="24"/>
              </w:rPr>
              <w:t>ей</w:t>
            </w:r>
            <w:r w:rsidR="004864CF">
              <w:rPr>
                <w:sz w:val="24"/>
              </w:rPr>
              <w:t xml:space="preserve"> </w:t>
            </w:r>
            <w:r w:rsidR="00854318">
              <w:rPr>
                <w:sz w:val="24"/>
              </w:rPr>
              <w:t>18</w:t>
            </w:r>
            <w:r w:rsidR="004864CF">
              <w:rPr>
                <w:sz w:val="24"/>
              </w:rPr>
              <w:t xml:space="preserve"> копе</w:t>
            </w:r>
            <w:r w:rsidR="00854318">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3777F">
            <w:pPr>
              <w:jc w:val="both"/>
              <w:rPr>
                <w:sz w:val="24"/>
              </w:rPr>
            </w:pPr>
            <w:r>
              <w:rPr>
                <w:sz w:val="24"/>
              </w:rPr>
              <w:t>«</w:t>
            </w:r>
            <w:r w:rsidR="0053777F">
              <w:rPr>
                <w:sz w:val="24"/>
              </w:rPr>
              <w:t>03</w:t>
            </w:r>
            <w:r w:rsidR="004864CF">
              <w:rPr>
                <w:sz w:val="24"/>
              </w:rPr>
              <w:t xml:space="preserve">» </w:t>
            </w:r>
            <w:r w:rsidR="0053777F">
              <w:rPr>
                <w:sz w:val="24"/>
              </w:rPr>
              <w:t>июн</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53777F">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3777F">
            <w:pPr>
              <w:jc w:val="both"/>
              <w:rPr>
                <w:sz w:val="24"/>
              </w:rPr>
            </w:pPr>
            <w:r>
              <w:rPr>
                <w:sz w:val="24"/>
              </w:rPr>
              <w:t>«</w:t>
            </w:r>
            <w:r w:rsidR="00D015F2">
              <w:rPr>
                <w:sz w:val="24"/>
              </w:rPr>
              <w:t>0</w:t>
            </w:r>
            <w:r w:rsidR="00854318">
              <w:rPr>
                <w:sz w:val="24"/>
              </w:rPr>
              <w:t>9</w:t>
            </w:r>
            <w:bookmarkStart w:id="0" w:name="_GoBack"/>
            <w:bookmarkEnd w:id="0"/>
            <w:r>
              <w:rPr>
                <w:sz w:val="24"/>
              </w:rPr>
              <w:t xml:space="preserve">» </w:t>
            </w:r>
            <w:r w:rsidR="00D015F2">
              <w:rPr>
                <w:sz w:val="24"/>
              </w:rPr>
              <w:t>июн</w:t>
            </w:r>
            <w:r>
              <w:rPr>
                <w:sz w:val="24"/>
              </w:rPr>
              <w:t>я 201</w:t>
            </w:r>
            <w:r w:rsidR="003303B7">
              <w:rPr>
                <w:sz w:val="24"/>
              </w:rPr>
              <w:t>6</w:t>
            </w:r>
            <w:r>
              <w:rPr>
                <w:sz w:val="24"/>
              </w:rPr>
              <w:t xml:space="preserve"> г. </w:t>
            </w:r>
            <w:r w:rsidR="00D015F2">
              <w:rPr>
                <w:sz w:val="24"/>
              </w:rPr>
              <w:t>1</w:t>
            </w:r>
            <w:r w:rsidR="0053777F">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460D0">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до 25.06.2016.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250.00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51"/>
    <w:bookmarkStart w:id="4" w:name="_MON_1437974433"/>
    <w:bookmarkStart w:id="5" w:name="_MON_1476163313"/>
    <w:bookmarkEnd w:id="1"/>
    <w:bookmarkEnd w:id="2"/>
    <w:bookmarkEnd w:id="3"/>
    <w:bookmarkEnd w:id="4"/>
    <w:bookmarkEnd w:id="5"/>
    <w:bookmarkStart w:id="6" w:name="_MON_1476163379"/>
    <w:bookmarkEnd w:id="6"/>
    <w:p w:rsidR="00315849" w:rsidRPr="008531D5" w:rsidRDefault="00315849"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9pt" o:ole="">
            <v:imagedata r:id="rId27" o:title=""/>
          </v:shape>
          <o:OLEObject Type="Embed" ProgID="Excel.Sheet.12" ShapeID="_x0000_i1025" DrawAspect="Content" ObjectID="_1526909666" r:id="rId28"/>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товара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3.2. Доставка товара осуществляется автотранспортом Поставщика  и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 1</w:t>
      </w:r>
      <w:r>
        <w:rPr>
          <w:rFonts w:ascii="Times New Roman CYR" w:eastAsiaTheme="minorHAnsi" w:hAnsi="Times New Roman CYR" w:cs="Times New Roman CYR"/>
          <w:sz w:val="23"/>
          <w:szCs w:val="23"/>
          <w:lang w:eastAsia="en-US"/>
        </w:rPr>
        <w:t xml:space="preserve"> (пшеница, ячмень, овес, зерносмесь).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просыпей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w:t>
      </w:r>
      <w:r w:rsidRPr="008531D5">
        <w:rPr>
          <w:sz w:val="24"/>
          <w:szCs w:val="24"/>
          <w:lang w:eastAsia="zh-CN"/>
        </w:rPr>
        <w:lastRenderedPageBreak/>
        <w:t>обязательным указанием контактной информации Грузополучателя.: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автоприем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автоприем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веса при пост</w:t>
      </w:r>
      <w:r>
        <w:rPr>
          <w:sz w:val="24"/>
          <w:szCs w:val="24"/>
          <w:lang w:eastAsia="zh-CN"/>
        </w:rPr>
        <w:t>авках автомобильным транспортом</w:t>
      </w:r>
      <w:r w:rsidRPr="008531D5">
        <w:rPr>
          <w:sz w:val="24"/>
          <w:szCs w:val="24"/>
          <w:lang w:eastAsia="zh-CN"/>
        </w:rPr>
        <w:t xml:space="preserve">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Филиал АКБ "Легион" (АО) в г. Екатеринбург в Уральском ГУ Банка России к/с 30101810465770000405  БИК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К/С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e-mail</w:t>
            </w:r>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5C5602" w:rsidRDefault="00315849" w:rsidP="005B6009">
            <w:pPr>
              <w:suppressAutoHyphens/>
              <w:jc w:val="both"/>
              <w:rPr>
                <w:sz w:val="24"/>
                <w:szCs w:val="24"/>
                <w:lang w:eastAsia="zh-CN"/>
              </w:rPr>
            </w:pPr>
            <w:r w:rsidRPr="005C5602">
              <w:rPr>
                <w:sz w:val="24"/>
                <w:szCs w:val="24"/>
                <w:lang w:eastAsia="zh-CN"/>
              </w:rPr>
              <w:t>Генеральный директор</w:t>
            </w:r>
          </w:p>
          <w:p w:rsidR="00315849" w:rsidRPr="005C5602" w:rsidRDefault="00315849" w:rsidP="005B6009">
            <w:pPr>
              <w:suppressAutoHyphens/>
              <w:jc w:val="both"/>
              <w:rPr>
                <w:sz w:val="24"/>
                <w:szCs w:val="24"/>
                <w:lang w:eastAsia="zh-CN"/>
              </w:rPr>
            </w:pPr>
            <w:r w:rsidRPr="005C5602">
              <w:rPr>
                <w:sz w:val="24"/>
                <w:szCs w:val="24"/>
                <w:lang w:eastAsia="zh-CN"/>
              </w:rPr>
              <w:t>____________________ Буксман В.В.</w:t>
            </w:r>
          </w:p>
          <w:p w:rsidR="00315849" w:rsidRPr="008531D5" w:rsidRDefault="00315849" w:rsidP="005B6009">
            <w:pPr>
              <w:suppressAutoHyphens/>
              <w:jc w:val="both"/>
              <w:rPr>
                <w:b/>
                <w:sz w:val="24"/>
                <w:szCs w:val="24"/>
                <w:lang w:eastAsia="zh-CN"/>
              </w:rPr>
            </w:pP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315849">
      <w:rPr>
        <w:b/>
        <w:smallCaps/>
        <w:sz w:val="24"/>
        <w:szCs w:val="24"/>
      </w:rPr>
      <w:t>292</w:t>
    </w:r>
    <w:r w:rsidR="0053777F">
      <w:rPr>
        <w:b/>
        <w:smallCaps/>
        <w:sz w:val="24"/>
        <w:szCs w:val="24"/>
      </w:rPr>
      <w:t>9</w:t>
    </w:r>
    <w:r w:rsidRPr="001D3871">
      <w:rPr>
        <w:b/>
        <w:smallCaps/>
        <w:sz w:val="24"/>
        <w:szCs w:val="24"/>
      </w:rPr>
      <w:t xml:space="preserve"> от «</w:t>
    </w:r>
    <w:r w:rsidR="0053777F">
      <w:rPr>
        <w:b/>
        <w:smallCaps/>
        <w:sz w:val="24"/>
        <w:szCs w:val="24"/>
      </w:rPr>
      <w:t>0</w:t>
    </w:r>
    <w:r w:rsidR="00315849" w:rsidRPr="00315849">
      <w:rPr>
        <w:b/>
        <w:smallCaps/>
        <w:sz w:val="24"/>
        <w:szCs w:val="24"/>
      </w:rPr>
      <w:t>3</w:t>
    </w:r>
    <w:r w:rsidRPr="001D3871">
      <w:rPr>
        <w:b/>
        <w:smallCaps/>
        <w:sz w:val="24"/>
        <w:szCs w:val="24"/>
      </w:rPr>
      <w:t xml:space="preserve">» </w:t>
    </w:r>
    <w:r w:rsidR="0053777F">
      <w:rPr>
        <w:b/>
        <w:smallCaps/>
        <w:sz w:val="24"/>
        <w:szCs w:val="24"/>
      </w:rPr>
      <w:t>июн</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315849" w:rsidP="00B460D0">
    <w:pPr>
      <w:autoSpaceDE w:val="0"/>
      <w:autoSpaceDN w:val="0"/>
      <w:adjustRightInd w:val="0"/>
      <w:ind w:left="9912"/>
      <w:rPr>
        <w:rFonts w:eastAsia="Calibri"/>
        <w:b/>
        <w:lang w:eastAsia="en-US"/>
      </w:rPr>
    </w:pPr>
    <w:r>
      <w:rPr>
        <w:rFonts w:eastAsia="Calibri"/>
        <w:b/>
        <w:lang w:eastAsia="en-US"/>
      </w:rPr>
      <w:t>К ИЗВЕЩЕНИЮ № 292</w:t>
    </w:r>
    <w:r w:rsidR="0053777F">
      <w:rPr>
        <w:rFonts w:eastAsia="Calibri"/>
        <w:b/>
        <w:lang w:eastAsia="en-US"/>
      </w:rPr>
      <w:t>9</w:t>
    </w:r>
    <w:r w:rsidR="00B460D0" w:rsidRPr="001F690A">
      <w:rPr>
        <w:rFonts w:eastAsia="Calibri"/>
        <w:b/>
        <w:lang w:eastAsia="en-US"/>
      </w:rPr>
      <w:t xml:space="preserve"> ОТ «</w:t>
    </w:r>
    <w:r>
      <w:rPr>
        <w:rFonts w:eastAsia="Calibri"/>
        <w:b/>
        <w:lang w:eastAsia="en-US"/>
      </w:rPr>
      <w:t>31</w:t>
    </w:r>
    <w:r w:rsidR="00B460D0" w:rsidRPr="001F690A">
      <w:rPr>
        <w:rFonts w:eastAsia="Calibri"/>
        <w:b/>
        <w:lang w:eastAsia="en-US"/>
      </w:rPr>
      <w:t xml:space="preserve">» </w:t>
    </w:r>
    <w:r>
      <w:rPr>
        <w:rFonts w:eastAsia="Calibri"/>
        <w:b/>
        <w:lang w:eastAsia="en-US"/>
      </w:rPr>
      <w:t>мая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315849">
      <w:rPr>
        <w:b/>
        <w:smallCaps/>
        <w:sz w:val="24"/>
        <w:szCs w:val="24"/>
      </w:rPr>
      <w:t>292</w:t>
    </w:r>
    <w:r w:rsidR="0053777F">
      <w:rPr>
        <w:b/>
        <w:smallCaps/>
        <w:sz w:val="24"/>
        <w:szCs w:val="24"/>
      </w:rPr>
      <w:t>9</w:t>
    </w:r>
    <w:r w:rsidRPr="001D3871">
      <w:rPr>
        <w:b/>
        <w:smallCaps/>
        <w:sz w:val="24"/>
        <w:szCs w:val="24"/>
      </w:rPr>
      <w:t xml:space="preserve"> от «</w:t>
    </w:r>
    <w:r w:rsidR="0053777F">
      <w:rPr>
        <w:b/>
        <w:smallCaps/>
        <w:sz w:val="24"/>
        <w:szCs w:val="24"/>
      </w:rPr>
      <w:t>0</w:t>
    </w:r>
    <w:r w:rsidR="00315849">
      <w:rPr>
        <w:b/>
        <w:smallCaps/>
        <w:sz w:val="24"/>
        <w:szCs w:val="24"/>
      </w:rPr>
      <w:t>3</w:t>
    </w:r>
    <w:r w:rsidRPr="001D3871">
      <w:rPr>
        <w:b/>
        <w:smallCaps/>
        <w:sz w:val="24"/>
        <w:szCs w:val="24"/>
      </w:rPr>
      <w:t xml:space="preserve">» </w:t>
    </w:r>
    <w:r w:rsidR="0053777F">
      <w:rPr>
        <w:b/>
        <w:smallCaps/>
        <w:sz w:val="24"/>
        <w:szCs w:val="24"/>
      </w:rPr>
      <w:t>июн</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Pr>
        <w:b/>
        <w:smallCaps/>
        <w:sz w:val="24"/>
        <w:szCs w:val="24"/>
      </w:rPr>
      <w:t>2929</w:t>
    </w:r>
    <w:r w:rsidRPr="001D3871">
      <w:rPr>
        <w:b/>
        <w:smallCaps/>
        <w:sz w:val="24"/>
        <w:szCs w:val="24"/>
      </w:rPr>
      <w:t xml:space="preserve"> от «</w:t>
    </w:r>
    <w:r>
      <w:rPr>
        <w:b/>
        <w:smallCaps/>
        <w:sz w:val="24"/>
        <w:szCs w:val="24"/>
      </w:rPr>
      <w:t>03</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Pr>
        <w:b/>
        <w:smallCaps/>
        <w:sz w:val="24"/>
        <w:szCs w:val="24"/>
      </w:rPr>
      <w:t>31</w:t>
    </w:r>
    <w:r w:rsidRPr="001D3871">
      <w:rPr>
        <w:b/>
        <w:smallCaps/>
        <w:sz w:val="24"/>
        <w:szCs w:val="24"/>
      </w:rPr>
      <w:t xml:space="preserve">» </w:t>
    </w:r>
    <w:r w:rsidR="00315849">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15849"/>
    <w:rsid w:val="003303B7"/>
    <w:rsid w:val="003435B3"/>
    <w:rsid w:val="003B4CBD"/>
    <w:rsid w:val="004864CF"/>
    <w:rsid w:val="004C4A93"/>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1F22-09BE-4ED4-AA5C-B78DFA46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6761</Words>
  <Characters>38540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2016-06-08T11:48:00Z</cp:lastPrinted>
  <dcterms:created xsi:type="dcterms:W3CDTF">2016-06-03T11:32:00Z</dcterms:created>
  <dcterms:modified xsi:type="dcterms:W3CDTF">2016-06-08T11:48:00Z</dcterms:modified>
</cp:coreProperties>
</file>