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C5472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3038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C5472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</w:t>
      </w:r>
      <w:r w:rsidR="00E951C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C5472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июл</w:t>
      </w:r>
      <w:r w:rsidR="00E951C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C54727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E951CF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E951CF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E951CF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E951CF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E951CF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C304D1" w:rsidRDefault="00C304D1" w:rsidP="00602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4D1">
              <w:rPr>
                <w:rFonts w:ascii="Times New Roman" w:hAnsi="Times New Roman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E951CF" w:rsidRPr="00E951CF" w:rsidRDefault="00E951CF" w:rsidP="00E951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bookmarkStart w:id="0" w:name="_GoBack"/>
            <w:r w:rsidRPr="00E951CF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Железо сульфат (марка А).</w:t>
            </w:r>
          </w:p>
          <w:bookmarkEnd w:id="0"/>
          <w:p w:rsidR="00E951CF" w:rsidRDefault="00E951CF" w:rsidP="00E951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951CF" w:rsidRDefault="00E951CF" w:rsidP="00E951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Количество: 20.00 тонн.</w:t>
            </w:r>
          </w:p>
          <w:p w:rsidR="00E951CF" w:rsidRDefault="00E951CF" w:rsidP="00E951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E0320">
              <w:rPr>
                <w:rFonts w:ascii="Times New Roman" w:hAnsi="Times New Roman"/>
                <w:sz w:val="23"/>
                <w:szCs w:val="23"/>
              </w:rPr>
              <w:t>Происхождение: Украина.</w:t>
            </w:r>
          </w:p>
          <w:p w:rsidR="00E951CF" w:rsidRPr="000E0320" w:rsidRDefault="00E951CF" w:rsidP="00E951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Качество: </w:t>
            </w:r>
            <w:r w:rsidRPr="000E0320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ТУ 24.1-05766356-072:2010, также </w:t>
            </w:r>
            <w:r w:rsidR="00C304D1">
              <w:rPr>
                <w:rFonts w:ascii="Times New Roman" w:hAnsi="Times New Roman"/>
                <w:sz w:val="23"/>
                <w:szCs w:val="23"/>
                <w:lang w:eastAsia="zh-CN"/>
              </w:rPr>
              <w:t>дополнительным показателям</w:t>
            </w:r>
            <w:r w:rsidRPr="000E0320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:  </w:t>
            </w:r>
          </w:p>
          <w:tbl>
            <w:tblPr>
              <w:tblW w:w="5239" w:type="dxa"/>
              <w:tblInd w:w="15" w:type="dxa"/>
              <w:tblLook w:val="04A0" w:firstRow="1" w:lastRow="0" w:firstColumn="1" w:lastColumn="0" w:noHBand="0" w:noVBand="1"/>
            </w:tblPr>
            <w:tblGrid>
              <w:gridCol w:w="859"/>
              <w:gridCol w:w="555"/>
              <w:gridCol w:w="555"/>
              <w:gridCol w:w="555"/>
              <w:gridCol w:w="833"/>
              <w:gridCol w:w="571"/>
              <w:gridCol w:w="555"/>
              <w:gridCol w:w="575"/>
              <w:gridCol w:w="181"/>
            </w:tblGrid>
            <w:tr w:rsidR="00E951CF" w:rsidRPr="00FE2624" w:rsidTr="00C304D1">
              <w:trPr>
                <w:trHeight w:hRule="exact" w:val="274"/>
              </w:trPr>
              <w:tc>
                <w:tcPr>
                  <w:tcW w:w="4991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Описательные параметры</w:t>
                  </w:r>
                </w:p>
              </w:tc>
              <w:tc>
                <w:tcPr>
                  <w:tcW w:w="248" w:type="dxa"/>
                  <w:vMerge w:val="restar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12"/>
                      <w:szCs w:val="12"/>
                    </w:rPr>
                  </w:pPr>
                </w:p>
              </w:tc>
            </w:tr>
            <w:tr w:rsidR="00E951CF" w:rsidRPr="00FE2624" w:rsidTr="00C304D1">
              <w:trPr>
                <w:trHeight w:hRule="exact" w:val="274"/>
              </w:trPr>
              <w:tc>
                <w:tcPr>
                  <w:tcW w:w="8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Наименование параметра</w:t>
                  </w:r>
                </w:p>
              </w:tc>
              <w:tc>
                <w:tcPr>
                  <w:tcW w:w="15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значение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Наименование параметра</w:t>
                  </w:r>
                </w:p>
              </w:tc>
              <w:tc>
                <w:tcPr>
                  <w:tcW w:w="171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значение</w:t>
                  </w:r>
                </w:p>
              </w:tc>
              <w:tc>
                <w:tcPr>
                  <w:tcW w:w="248" w:type="dxa"/>
                  <w:vMerge/>
                  <w:vAlign w:val="center"/>
                  <w:hideMark/>
                </w:tcPr>
                <w:p w:rsidR="00E951CF" w:rsidRPr="00FE2624" w:rsidRDefault="00E951CF" w:rsidP="00E951CF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12"/>
                      <w:szCs w:val="12"/>
                    </w:rPr>
                  </w:pPr>
                </w:p>
              </w:tc>
            </w:tr>
            <w:tr w:rsidR="00E951CF" w:rsidRPr="00FE2624" w:rsidTr="00C304D1">
              <w:trPr>
                <w:trHeight w:hRule="exact" w:val="328"/>
              </w:trPr>
              <w:tc>
                <w:tcPr>
                  <w:tcW w:w="8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Внешний вид, состояние</w:t>
                  </w:r>
                </w:p>
              </w:tc>
              <w:tc>
                <w:tcPr>
                  <w:tcW w:w="15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proofErr w:type="gramStart"/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Кристаллический .порошок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Цвет</w:t>
                  </w:r>
                </w:p>
              </w:tc>
              <w:tc>
                <w:tcPr>
                  <w:tcW w:w="171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светло- зеленый</w:t>
                  </w:r>
                </w:p>
              </w:tc>
              <w:tc>
                <w:tcPr>
                  <w:tcW w:w="248" w:type="dxa"/>
                  <w:vMerge/>
                  <w:vAlign w:val="center"/>
                  <w:hideMark/>
                </w:tcPr>
                <w:p w:rsidR="00E951CF" w:rsidRPr="00FE2624" w:rsidRDefault="00E951CF" w:rsidP="00E951CF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12"/>
                      <w:szCs w:val="12"/>
                    </w:rPr>
                  </w:pPr>
                </w:p>
              </w:tc>
            </w:tr>
            <w:tr w:rsidR="00E951CF" w:rsidRPr="00FE2624" w:rsidTr="00C304D1">
              <w:trPr>
                <w:trHeight w:hRule="exact" w:val="149"/>
              </w:trPr>
              <w:tc>
                <w:tcPr>
                  <w:tcW w:w="8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маркировка</w:t>
                  </w:r>
                </w:p>
              </w:tc>
              <w:tc>
                <w:tcPr>
                  <w:tcW w:w="15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этикетка</w:t>
                  </w:r>
                </w:p>
              </w:tc>
              <w:tc>
                <w:tcPr>
                  <w:tcW w:w="2568" w:type="dxa"/>
                  <w:gridSpan w:val="4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48" w:type="dxa"/>
                  <w:vMerge/>
                  <w:vAlign w:val="center"/>
                  <w:hideMark/>
                </w:tcPr>
                <w:p w:rsidR="00E951CF" w:rsidRPr="00FE2624" w:rsidRDefault="00E951CF" w:rsidP="00E951CF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12"/>
                      <w:szCs w:val="12"/>
                    </w:rPr>
                  </w:pPr>
                </w:p>
              </w:tc>
            </w:tr>
            <w:tr w:rsidR="00E951CF" w:rsidRPr="00FE2624" w:rsidTr="00C304D1">
              <w:trPr>
                <w:trHeight w:val="99"/>
              </w:trPr>
              <w:tc>
                <w:tcPr>
                  <w:tcW w:w="4991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Числовые параметры</w:t>
                  </w:r>
                </w:p>
              </w:tc>
              <w:tc>
                <w:tcPr>
                  <w:tcW w:w="248" w:type="dxa"/>
                  <w:vMerge/>
                  <w:vAlign w:val="center"/>
                  <w:hideMark/>
                </w:tcPr>
                <w:p w:rsidR="00E951CF" w:rsidRPr="00FE2624" w:rsidRDefault="00E951CF" w:rsidP="00E951CF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12"/>
                      <w:szCs w:val="12"/>
                    </w:rPr>
                  </w:pPr>
                </w:p>
              </w:tc>
            </w:tr>
            <w:tr w:rsidR="00E951CF" w:rsidRPr="00FE2624" w:rsidTr="00C304D1">
              <w:trPr>
                <w:trHeight w:hRule="exact" w:val="274"/>
              </w:trPr>
              <w:tc>
                <w:tcPr>
                  <w:tcW w:w="8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Наименование параметра</w:t>
                  </w: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типовое</w:t>
                  </w: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мин</w:t>
                  </w: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макс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Наименование параметра</w:t>
                  </w: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типовое</w:t>
                  </w: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345" w:firstLine="360"/>
                    <w:jc w:val="center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мин</w:t>
                  </w:r>
                </w:p>
              </w:tc>
              <w:tc>
                <w:tcPr>
                  <w:tcW w:w="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макс</w:t>
                  </w:r>
                </w:p>
              </w:tc>
              <w:tc>
                <w:tcPr>
                  <w:tcW w:w="248" w:type="dxa"/>
                  <w:vMerge/>
                  <w:vAlign w:val="center"/>
                  <w:hideMark/>
                </w:tcPr>
                <w:p w:rsidR="00E951CF" w:rsidRPr="00FE2624" w:rsidRDefault="00E951CF" w:rsidP="00E951CF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12"/>
                      <w:szCs w:val="12"/>
                    </w:rPr>
                  </w:pPr>
                </w:p>
              </w:tc>
            </w:tr>
            <w:tr w:rsidR="00E951CF" w:rsidRPr="00FE2624" w:rsidTr="00C304D1">
              <w:trPr>
                <w:trHeight w:hRule="exact" w:val="374"/>
              </w:trPr>
              <w:tc>
                <w:tcPr>
                  <w:tcW w:w="8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 xml:space="preserve">Влага и </w:t>
                  </w:r>
                  <w:proofErr w:type="spellStart"/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лет.в-</w:t>
                  </w:r>
                  <w:proofErr w:type="gramStart"/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ва</w:t>
                  </w:r>
                  <w:proofErr w:type="spellEnd"/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 xml:space="preserve">  ,</w:t>
                  </w:r>
                  <w:proofErr w:type="gramEnd"/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 xml:space="preserve"> %</w:t>
                  </w: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30.00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Железо(III), г/т</w:t>
                  </w: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310000.00</w:t>
                  </w: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370000.00</w:t>
                  </w:r>
                </w:p>
              </w:tc>
              <w:tc>
                <w:tcPr>
                  <w:tcW w:w="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400000.00</w:t>
                  </w:r>
                </w:p>
              </w:tc>
              <w:tc>
                <w:tcPr>
                  <w:tcW w:w="248" w:type="dxa"/>
                  <w:vMerge/>
                  <w:vAlign w:val="center"/>
                  <w:hideMark/>
                </w:tcPr>
                <w:p w:rsidR="00E951CF" w:rsidRPr="00FE2624" w:rsidRDefault="00E951CF" w:rsidP="00E951CF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12"/>
                      <w:szCs w:val="12"/>
                    </w:rPr>
                  </w:pPr>
                </w:p>
              </w:tc>
            </w:tr>
            <w:tr w:rsidR="00E951CF" w:rsidRPr="00FE2624" w:rsidTr="00C304D1">
              <w:trPr>
                <w:trHeight w:hRule="exact" w:val="302"/>
              </w:trPr>
              <w:tc>
                <w:tcPr>
                  <w:tcW w:w="8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proofErr w:type="gramStart"/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 xml:space="preserve">Сера,   </w:t>
                  </w:r>
                  <w:proofErr w:type="gramEnd"/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 xml:space="preserve">   г/т</w:t>
                  </w: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115500.00</w:t>
                  </w: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115500.00</w:t>
                  </w: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115500.00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proofErr w:type="gramStart"/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Свинец ,г</w:t>
                  </w:r>
                  <w:proofErr w:type="gramEnd"/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/т</w:t>
                  </w: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50.00</w:t>
                  </w:r>
                </w:p>
              </w:tc>
              <w:tc>
                <w:tcPr>
                  <w:tcW w:w="248" w:type="dxa"/>
                  <w:vMerge/>
                  <w:vAlign w:val="center"/>
                  <w:hideMark/>
                </w:tcPr>
                <w:p w:rsidR="00E951CF" w:rsidRPr="00FE2624" w:rsidRDefault="00E951CF" w:rsidP="00E951CF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12"/>
                      <w:szCs w:val="12"/>
                    </w:rPr>
                  </w:pPr>
                </w:p>
              </w:tc>
            </w:tr>
            <w:tr w:rsidR="00E951CF" w:rsidRPr="00FE2624" w:rsidTr="00C304D1">
              <w:trPr>
                <w:trHeight w:hRule="exact" w:val="258"/>
              </w:trPr>
              <w:tc>
                <w:tcPr>
                  <w:tcW w:w="8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proofErr w:type="gramStart"/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Мышьяк,г</w:t>
                  </w:r>
                  <w:proofErr w:type="spellEnd"/>
                  <w:proofErr w:type="gramEnd"/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/т</w:t>
                  </w: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50.00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proofErr w:type="gramStart"/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Кадмий,г</w:t>
                  </w:r>
                  <w:proofErr w:type="spellEnd"/>
                  <w:proofErr w:type="gramEnd"/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/т</w:t>
                  </w: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0.40</w:t>
                  </w:r>
                </w:p>
              </w:tc>
              <w:tc>
                <w:tcPr>
                  <w:tcW w:w="248" w:type="dxa"/>
                  <w:vMerge/>
                  <w:vAlign w:val="center"/>
                  <w:hideMark/>
                </w:tcPr>
                <w:p w:rsidR="00E951CF" w:rsidRPr="00FE2624" w:rsidRDefault="00E951CF" w:rsidP="00E951CF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12"/>
                      <w:szCs w:val="12"/>
                    </w:rPr>
                  </w:pPr>
                </w:p>
              </w:tc>
            </w:tr>
            <w:tr w:rsidR="00E951CF" w:rsidRPr="00FE2624" w:rsidTr="00C304D1">
              <w:trPr>
                <w:trHeight w:hRule="exact" w:val="193"/>
              </w:trPr>
              <w:tc>
                <w:tcPr>
                  <w:tcW w:w="8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Ртуть, г/т</w:t>
                  </w: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0.10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proofErr w:type="gramStart"/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Фтор ,г</w:t>
                  </w:r>
                  <w:proofErr w:type="gramEnd"/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/т</w:t>
                  </w: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2000.00</w:t>
                  </w:r>
                </w:p>
              </w:tc>
              <w:tc>
                <w:tcPr>
                  <w:tcW w:w="248" w:type="dxa"/>
                  <w:vMerge/>
                  <w:vAlign w:val="center"/>
                  <w:hideMark/>
                </w:tcPr>
                <w:p w:rsidR="00E951CF" w:rsidRPr="00FE2624" w:rsidRDefault="00E951CF" w:rsidP="00E951CF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12"/>
                      <w:szCs w:val="12"/>
                    </w:rPr>
                  </w:pPr>
                </w:p>
              </w:tc>
            </w:tr>
          </w:tbl>
          <w:p w:rsidR="00E951CF" w:rsidRPr="004D1150" w:rsidRDefault="00E951CF" w:rsidP="00E951C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D1150">
              <w:rPr>
                <w:rFonts w:ascii="Times New Roman" w:hAnsi="Times New Roman"/>
                <w:sz w:val="23"/>
                <w:szCs w:val="23"/>
              </w:rPr>
              <w:t xml:space="preserve">Вид упаковки: полипропиленовый мешок, не ламинированный. </w:t>
            </w:r>
          </w:p>
          <w:p w:rsidR="00E951CF" w:rsidRPr="004D1150" w:rsidRDefault="00E951CF" w:rsidP="00E951C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Вес нетто: 4</w:t>
            </w:r>
            <w:r w:rsidRPr="004D1150">
              <w:rPr>
                <w:rFonts w:ascii="Times New Roman" w:hAnsi="Times New Roman"/>
                <w:sz w:val="23"/>
                <w:szCs w:val="23"/>
              </w:rPr>
              <w:t>0 килограмм.</w:t>
            </w:r>
          </w:p>
          <w:p w:rsidR="00E951CF" w:rsidRDefault="00E951CF" w:rsidP="00E951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951CF" w:rsidRPr="000E0320" w:rsidRDefault="00E951CF" w:rsidP="00E95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E0320">
              <w:rPr>
                <w:rFonts w:ascii="Times New Roman" w:hAnsi="Times New Roman"/>
                <w:sz w:val="23"/>
                <w:szCs w:val="23"/>
              </w:rPr>
              <w:t>Правила приемки и метод отбора проб проводится в соответствии с ГОСТ ИСО-6497-2011.</w:t>
            </w:r>
          </w:p>
          <w:p w:rsidR="00E951CF" w:rsidRPr="000E0320" w:rsidRDefault="00E951CF" w:rsidP="00E951C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E0320">
              <w:rPr>
                <w:rFonts w:ascii="Times New Roman" w:hAnsi="Times New Roman"/>
                <w:sz w:val="23"/>
                <w:szCs w:val="23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E951CF" w:rsidRDefault="00E951CF" w:rsidP="00E951C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E0320">
              <w:rPr>
                <w:rFonts w:ascii="Times New Roman" w:hAnsi="Times New Roman"/>
                <w:sz w:val="23"/>
                <w:szCs w:val="23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521003" w:rsidRPr="00C304D1" w:rsidRDefault="00E951CF" w:rsidP="00E95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4D1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C30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C304D1">
              <w:rPr>
                <w:rFonts w:ascii="Times New Roman" w:hAnsi="Times New Roman"/>
                <w:sz w:val="24"/>
              </w:rPr>
              <w:t>30</w:t>
            </w:r>
            <w:r w:rsidR="00E951CF">
              <w:rPr>
                <w:rFonts w:ascii="Times New Roman" w:hAnsi="Times New Roman"/>
                <w:sz w:val="24"/>
              </w:rPr>
              <w:t>.0</w:t>
            </w:r>
            <w:r w:rsidR="00C304D1">
              <w:rPr>
                <w:rFonts w:ascii="Times New Roman" w:hAnsi="Times New Roman"/>
                <w:sz w:val="24"/>
              </w:rPr>
              <w:t>7</w:t>
            </w:r>
            <w:r w:rsidR="00E951CF">
              <w:rPr>
                <w:rFonts w:ascii="Times New Roman" w:hAnsi="Times New Roman"/>
                <w:sz w:val="24"/>
              </w:rPr>
              <w:t>.2016г</w:t>
            </w:r>
            <w:r w:rsidR="009144E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E951CF" w:rsidP="00C30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364 40</w:t>
            </w:r>
            <w:r w:rsidR="00C304D1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 w:rsidR="00C304D1">
              <w:rPr>
                <w:rFonts w:ascii="Times New Roman" w:hAnsi="Times New Roman"/>
                <w:sz w:val="24"/>
              </w:rPr>
              <w:t>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копеек.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951CF" w:rsidRPr="00E951CF" w:rsidRDefault="00C304D1" w:rsidP="00E951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951CF" w:rsidRPr="00E951CF">
              <w:rPr>
                <w:rFonts w:ascii="Times New Roman" w:hAnsi="Times New Roman" w:cs="Times New Roman"/>
                <w:sz w:val="24"/>
                <w:szCs w:val="24"/>
              </w:rPr>
              <w:t>течение 30 (тридцати) календарных дней по факту получения товара.</w:t>
            </w:r>
          </w:p>
          <w:p w:rsidR="009E4FCC" w:rsidRPr="0060273D" w:rsidRDefault="00E951CF" w:rsidP="00E95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51CF">
              <w:rPr>
                <w:rFonts w:ascii="Times New Roman" w:hAnsi="Times New Roman"/>
                <w:sz w:val="24"/>
                <w:szCs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35146E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E951CF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E951CF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E951CF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E951CF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E951CF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C30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C304D1">
              <w:rPr>
                <w:rFonts w:ascii="Times New Roman" w:hAnsi="Times New Roman"/>
                <w:sz w:val="24"/>
              </w:rPr>
              <w:t>07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C304D1">
              <w:rPr>
                <w:rFonts w:ascii="Times New Roman" w:hAnsi="Times New Roman"/>
                <w:sz w:val="24"/>
              </w:rPr>
              <w:t>июл</w:t>
            </w:r>
            <w:r w:rsidR="00E951CF">
              <w:rPr>
                <w:rFonts w:ascii="Times New Roman" w:hAnsi="Times New Roman"/>
                <w:sz w:val="24"/>
              </w:rPr>
              <w:t>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E951CF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E951CF">
              <w:rPr>
                <w:rFonts w:ascii="Times New Roman" w:hAnsi="Times New Roman"/>
                <w:sz w:val="24"/>
              </w:rPr>
              <w:t>1</w:t>
            </w:r>
            <w:r w:rsidR="00C304D1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C304D1" w:rsidP="00E95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«12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июл</w:t>
            </w:r>
            <w:r w:rsidR="00E951CF">
              <w:rPr>
                <w:rFonts w:ascii="Times New Roman" w:hAnsi="Times New Roman"/>
                <w:sz w:val="24"/>
              </w:rPr>
              <w:t>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E951CF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lastRenderedPageBreak/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C304D1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E951CF" w:rsidRDefault="00E951CF" w:rsidP="004B6612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 w:rsidRPr="00E951CF">
        <w:rPr>
          <w:b/>
          <w:sz w:val="24"/>
          <w:szCs w:val="26"/>
          <w:u w:val="single"/>
        </w:rPr>
        <w:t>Железо сульфат (марка А)</w:t>
      </w:r>
      <w:r w:rsidR="004B6612" w:rsidRPr="00E951CF">
        <w:rPr>
          <w:b/>
          <w:sz w:val="24"/>
          <w:szCs w:val="26"/>
          <w:u w:val="single"/>
        </w:rPr>
        <w:t>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CF" w:rsidRDefault="00E951CF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1CF">
              <w:rPr>
                <w:rFonts w:ascii="Times New Roman" w:hAnsi="Times New Roman" w:cs="Times New Roman"/>
                <w:sz w:val="22"/>
                <w:szCs w:val="22"/>
              </w:rPr>
              <w:t>течение 30 (тридцати) календарных дней по факту получения товара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C304D1" w:rsidP="00C304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30</w:t>
            </w:r>
            <w:r w:rsidR="00E951CF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951CF">
              <w:rPr>
                <w:rFonts w:ascii="Times New Roman" w:hAnsi="Times New Roman" w:cs="Times New Roman"/>
                <w:sz w:val="22"/>
                <w:szCs w:val="22"/>
              </w:rPr>
              <w:t>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E951CF" w:rsidRDefault="00DD0D58" w:rsidP="00E95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E951CF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1CF">
              <w:rPr>
                <w:rFonts w:ascii="Times New Roman" w:hAnsi="Times New Roman"/>
                <w:sz w:val="24"/>
                <w:szCs w:val="24"/>
              </w:rPr>
              <w:t>Железо сульфат (марка 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E951CF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E951CF" w:rsidRPr="00FE2624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E2624">
        <w:rPr>
          <w:rFonts w:ascii="Times New Roman" w:hAnsi="Times New Roman"/>
          <w:sz w:val="24"/>
          <w:szCs w:val="24"/>
        </w:rPr>
        <w:t xml:space="preserve">В том числе транспортные расходы до склада Заказчика. Качество товара соответствует требованиям Заказчика и требованиям нормативно-технической документации изготовителя. </w:t>
      </w:r>
    </w:p>
    <w:p w:rsidR="00E951CF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E0320">
        <w:rPr>
          <w:rFonts w:ascii="Times New Roman" w:hAnsi="Times New Roman"/>
          <w:sz w:val="23"/>
          <w:szCs w:val="23"/>
        </w:rPr>
        <w:t>Происхождение: Украина.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>
        <w:rPr>
          <w:rFonts w:ascii="Times New Roman" w:hAnsi="Times New Roman"/>
          <w:sz w:val="23"/>
          <w:szCs w:val="23"/>
          <w:lang w:eastAsia="zh-CN"/>
        </w:rPr>
        <w:t xml:space="preserve">Качество: </w:t>
      </w:r>
      <w:r w:rsidRPr="000E0320">
        <w:rPr>
          <w:rFonts w:ascii="Times New Roman" w:hAnsi="Times New Roman"/>
          <w:sz w:val="23"/>
          <w:szCs w:val="23"/>
          <w:lang w:eastAsia="zh-CN"/>
        </w:rPr>
        <w:t xml:space="preserve">ТУ 24.1-05766356-072:2010, также </w:t>
      </w:r>
      <w:r w:rsidR="00C304D1">
        <w:rPr>
          <w:rFonts w:ascii="Times New Roman" w:hAnsi="Times New Roman"/>
          <w:sz w:val="23"/>
          <w:szCs w:val="23"/>
          <w:lang w:eastAsia="zh-CN"/>
        </w:rPr>
        <w:t xml:space="preserve">дополнительным </w:t>
      </w:r>
      <w:r w:rsidRPr="000E0320">
        <w:rPr>
          <w:rFonts w:ascii="Times New Roman" w:hAnsi="Times New Roman"/>
          <w:sz w:val="23"/>
          <w:szCs w:val="23"/>
          <w:lang w:eastAsia="zh-CN"/>
        </w:rPr>
        <w:t xml:space="preserve">условиям:  </w:t>
      </w:r>
    </w:p>
    <w:tbl>
      <w:tblPr>
        <w:tblW w:w="10058" w:type="dxa"/>
        <w:tblInd w:w="15" w:type="dxa"/>
        <w:tblLook w:val="04A0" w:firstRow="1" w:lastRow="0" w:firstColumn="1" w:lastColumn="0" w:noHBand="0" w:noVBand="1"/>
      </w:tblPr>
      <w:tblGrid>
        <w:gridCol w:w="1544"/>
        <w:gridCol w:w="1065"/>
        <w:gridCol w:w="1065"/>
        <w:gridCol w:w="1065"/>
        <w:gridCol w:w="1544"/>
        <w:gridCol w:w="1065"/>
        <w:gridCol w:w="1065"/>
        <w:gridCol w:w="1251"/>
        <w:gridCol w:w="92"/>
        <w:gridCol w:w="144"/>
        <w:gridCol w:w="158"/>
      </w:tblGrid>
      <w:tr w:rsidR="00E951CF" w:rsidRPr="00FE2624" w:rsidTr="00E951CF">
        <w:trPr>
          <w:trHeight w:hRule="exact" w:val="274"/>
        </w:trPr>
        <w:tc>
          <w:tcPr>
            <w:tcW w:w="97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Описательные параметры</w:t>
            </w:r>
          </w:p>
        </w:tc>
        <w:tc>
          <w:tcPr>
            <w:tcW w:w="302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951CF" w:rsidRPr="00FE2624" w:rsidTr="00E951CF">
        <w:trPr>
          <w:trHeight w:hRule="exact" w:val="274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3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34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302" w:type="dxa"/>
            <w:gridSpan w:val="2"/>
            <w:vMerge w:val="restart"/>
            <w:vAlign w:val="center"/>
            <w:hideMark/>
          </w:tcPr>
          <w:p w:rsidR="00E951CF" w:rsidRPr="00FE2624" w:rsidRDefault="00E951CF" w:rsidP="00C304D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951CF" w:rsidRPr="00FE2624" w:rsidTr="00E951CF">
        <w:trPr>
          <w:trHeight w:hRule="exact" w:val="328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Внешний вид, состояние</w:t>
            </w:r>
          </w:p>
        </w:tc>
        <w:tc>
          <w:tcPr>
            <w:tcW w:w="3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C304D1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Кристаллический </w:t>
            </w:r>
            <w:r w:rsidR="00E951CF"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порошок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Цвет</w:t>
            </w:r>
          </w:p>
        </w:tc>
        <w:tc>
          <w:tcPr>
            <w:tcW w:w="34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светло-зеленый</w:t>
            </w:r>
          </w:p>
        </w:tc>
        <w:tc>
          <w:tcPr>
            <w:tcW w:w="302" w:type="dxa"/>
            <w:gridSpan w:val="2"/>
            <w:vMerge/>
            <w:vAlign w:val="center"/>
            <w:hideMark/>
          </w:tcPr>
          <w:p w:rsidR="00E951CF" w:rsidRPr="00FE2624" w:rsidRDefault="00E951CF" w:rsidP="00C304D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951CF" w:rsidRPr="00FE2624" w:rsidTr="00E951CF">
        <w:trPr>
          <w:gridAfter w:val="1"/>
          <w:wAfter w:w="158" w:type="dxa"/>
          <w:trHeight w:hRule="exact" w:val="330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маркировка</w:t>
            </w:r>
          </w:p>
        </w:tc>
        <w:tc>
          <w:tcPr>
            <w:tcW w:w="3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этикетка</w:t>
            </w:r>
          </w:p>
        </w:tc>
        <w:tc>
          <w:tcPr>
            <w:tcW w:w="4925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951CF" w:rsidRPr="00FE2624" w:rsidRDefault="00E951CF" w:rsidP="00C304D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951CF" w:rsidRPr="00FE2624" w:rsidTr="00E951CF">
        <w:trPr>
          <w:trHeight w:val="99"/>
        </w:trPr>
        <w:tc>
          <w:tcPr>
            <w:tcW w:w="97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Числовые параметры</w:t>
            </w:r>
          </w:p>
        </w:tc>
        <w:tc>
          <w:tcPr>
            <w:tcW w:w="302" w:type="dxa"/>
            <w:gridSpan w:val="2"/>
            <w:vMerge w:val="restart"/>
            <w:vAlign w:val="center"/>
            <w:hideMark/>
          </w:tcPr>
          <w:p w:rsidR="00E951CF" w:rsidRPr="00FE2624" w:rsidRDefault="00E951CF" w:rsidP="00C304D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951CF" w:rsidRPr="00FE2624" w:rsidTr="00E951CF">
        <w:trPr>
          <w:trHeight w:hRule="exact" w:val="274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типовое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макс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типовое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5" w:firstLine="36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макс</w:t>
            </w:r>
          </w:p>
        </w:tc>
        <w:tc>
          <w:tcPr>
            <w:tcW w:w="302" w:type="dxa"/>
            <w:gridSpan w:val="2"/>
            <w:vMerge/>
            <w:vAlign w:val="center"/>
            <w:hideMark/>
          </w:tcPr>
          <w:p w:rsidR="00E951CF" w:rsidRPr="00FE2624" w:rsidRDefault="00E951CF" w:rsidP="00C304D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951CF" w:rsidRPr="00FE2624" w:rsidTr="00C304D1">
        <w:trPr>
          <w:trHeight w:hRule="exact" w:val="644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Влага и </w:t>
            </w:r>
            <w:proofErr w:type="spellStart"/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лет.в-</w:t>
            </w:r>
            <w:proofErr w:type="gramStart"/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ва</w:t>
            </w:r>
            <w:proofErr w:type="spellEnd"/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 ,</w:t>
            </w:r>
            <w:proofErr w:type="gramEnd"/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Железо(III), г/т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310000.00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370000.00</w:t>
            </w:r>
          </w:p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400000.00</w:t>
            </w:r>
          </w:p>
        </w:tc>
        <w:tc>
          <w:tcPr>
            <w:tcW w:w="302" w:type="dxa"/>
            <w:gridSpan w:val="2"/>
            <w:vMerge/>
            <w:vAlign w:val="center"/>
            <w:hideMark/>
          </w:tcPr>
          <w:p w:rsidR="00E951CF" w:rsidRPr="00FE2624" w:rsidRDefault="00E951CF" w:rsidP="00C304D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951CF" w:rsidRPr="00FE2624" w:rsidTr="00E951CF">
        <w:trPr>
          <w:trHeight w:hRule="exact" w:val="302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proofErr w:type="gramStart"/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Сера,   </w:t>
            </w:r>
            <w:proofErr w:type="gramEnd"/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  г/т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115500.00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115500.00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115500.00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proofErr w:type="gramStart"/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Свинец ,г</w:t>
            </w:r>
            <w:proofErr w:type="gramEnd"/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/т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302" w:type="dxa"/>
            <w:gridSpan w:val="2"/>
            <w:vMerge/>
            <w:vAlign w:val="center"/>
            <w:hideMark/>
          </w:tcPr>
          <w:p w:rsidR="00E951CF" w:rsidRPr="00FE2624" w:rsidRDefault="00E951CF" w:rsidP="00C304D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951CF" w:rsidRPr="00FE2624" w:rsidTr="00E951CF">
        <w:trPr>
          <w:trHeight w:hRule="exact" w:val="466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Мышьяк,г</w:t>
            </w:r>
            <w:proofErr w:type="spellEnd"/>
            <w:proofErr w:type="gramEnd"/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/т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Кадмий,г</w:t>
            </w:r>
            <w:proofErr w:type="spellEnd"/>
            <w:proofErr w:type="gramEnd"/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/т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302" w:type="dxa"/>
            <w:gridSpan w:val="2"/>
            <w:vMerge/>
            <w:vAlign w:val="center"/>
            <w:hideMark/>
          </w:tcPr>
          <w:p w:rsidR="00E951CF" w:rsidRPr="00FE2624" w:rsidRDefault="00E951CF" w:rsidP="00C304D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951CF" w:rsidRPr="00FE2624" w:rsidTr="00E951CF">
        <w:trPr>
          <w:trHeight w:hRule="exact" w:val="484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Ртуть, г/т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proofErr w:type="gramStart"/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Фтор ,г</w:t>
            </w:r>
            <w:proofErr w:type="gramEnd"/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/т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2000.00</w:t>
            </w:r>
          </w:p>
        </w:tc>
        <w:tc>
          <w:tcPr>
            <w:tcW w:w="302" w:type="dxa"/>
            <w:gridSpan w:val="2"/>
            <w:vMerge/>
            <w:vAlign w:val="center"/>
            <w:hideMark/>
          </w:tcPr>
          <w:p w:rsidR="00E951CF" w:rsidRPr="00FE2624" w:rsidRDefault="00E951CF" w:rsidP="00C304D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E951CF" w:rsidRPr="004D1150" w:rsidRDefault="00E951CF" w:rsidP="00E951C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D1150">
        <w:rPr>
          <w:rFonts w:ascii="Times New Roman" w:hAnsi="Times New Roman"/>
          <w:sz w:val="23"/>
          <w:szCs w:val="23"/>
        </w:rPr>
        <w:t xml:space="preserve">Вид упаковки: полипропиленовый мешок, не ламинированный. </w:t>
      </w:r>
    </w:p>
    <w:p w:rsidR="00E951CF" w:rsidRPr="004D1150" w:rsidRDefault="00E951CF" w:rsidP="00E951C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Вес нетто: 4</w:t>
      </w:r>
      <w:r w:rsidRPr="004D1150">
        <w:rPr>
          <w:rFonts w:ascii="Times New Roman" w:hAnsi="Times New Roman"/>
          <w:sz w:val="23"/>
          <w:szCs w:val="23"/>
        </w:rPr>
        <w:t>0 килограмм.</w:t>
      </w:r>
    </w:p>
    <w:p w:rsidR="00E951CF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0E0320">
        <w:rPr>
          <w:rFonts w:ascii="Times New Roman" w:hAnsi="Times New Roman"/>
          <w:sz w:val="23"/>
          <w:szCs w:val="23"/>
        </w:rPr>
        <w:t>Правила приемки и метод отбора проб проводится в соответствии с ГОСТ ИСО-6497-2011.</w:t>
      </w:r>
    </w:p>
    <w:p w:rsidR="00E951CF" w:rsidRPr="000E0320" w:rsidRDefault="00E951CF" w:rsidP="00E951C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E0320">
        <w:rPr>
          <w:rFonts w:ascii="Times New Roman" w:hAnsi="Times New Roman"/>
          <w:sz w:val="23"/>
          <w:szCs w:val="23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E951CF" w:rsidRDefault="00E951CF" w:rsidP="00E951CF">
      <w:pPr>
        <w:pStyle w:val="3"/>
        <w:spacing w:after="0"/>
        <w:jc w:val="both"/>
        <w:rPr>
          <w:sz w:val="23"/>
          <w:szCs w:val="23"/>
        </w:rPr>
      </w:pPr>
      <w:r w:rsidRPr="000E0320">
        <w:rPr>
          <w:sz w:val="23"/>
          <w:szCs w:val="23"/>
        </w:rPr>
        <w:t>Фактически поставляемая партия товара должна быть однородна по дате выработки и производителю.</w:t>
      </w:r>
    </w:p>
    <w:p w:rsidR="00E951CF" w:rsidRDefault="00E951CF" w:rsidP="00E951CF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347052">
        <w:rPr>
          <w:rFonts w:eastAsia="Calibri"/>
          <w:sz w:val="24"/>
          <w:szCs w:val="24"/>
          <w:lang w:eastAsia="en-US"/>
        </w:rPr>
        <w:t xml:space="preserve">Вид транспорта: </w:t>
      </w:r>
      <w:r>
        <w:rPr>
          <w:rFonts w:eastAsia="Calibri"/>
          <w:sz w:val="24"/>
          <w:szCs w:val="24"/>
          <w:lang w:eastAsia="en-US"/>
        </w:rPr>
        <w:t>автомобильный.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E951CF" w:rsidRPr="000E0320" w:rsidRDefault="00E951CF" w:rsidP="00E951CF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3"/>
          <w:szCs w:val="23"/>
          <w:lang w:eastAsia="ru-RU"/>
        </w:rPr>
      </w:pPr>
      <w:r w:rsidRPr="000E0320">
        <w:rPr>
          <w:rFonts w:ascii="Times New Roman" w:hAnsi="Times New Roman"/>
          <w:b/>
          <w:smallCaps/>
          <w:sz w:val="23"/>
          <w:szCs w:val="23"/>
        </w:rPr>
        <w:lastRenderedPageBreak/>
        <w:t>Договор № ___</w:t>
      </w:r>
    </w:p>
    <w:p w:rsidR="00E951CF" w:rsidRPr="000E0320" w:rsidRDefault="00E951CF" w:rsidP="00E951CF">
      <w:pPr>
        <w:spacing w:after="0" w:line="240" w:lineRule="auto"/>
        <w:jc w:val="center"/>
        <w:outlineLvl w:val="0"/>
        <w:rPr>
          <w:rFonts w:ascii="Times New Roman" w:hAnsi="Times New Roman"/>
          <w:sz w:val="23"/>
          <w:szCs w:val="23"/>
        </w:rPr>
      </w:pPr>
      <w:r w:rsidRPr="000E0320">
        <w:rPr>
          <w:rFonts w:ascii="Times New Roman" w:hAnsi="Times New Roman"/>
          <w:sz w:val="23"/>
          <w:szCs w:val="23"/>
        </w:rPr>
        <w:t>(поставки)</w:t>
      </w:r>
    </w:p>
    <w:p w:rsidR="00E951CF" w:rsidRPr="000E0320" w:rsidRDefault="00E951CF" w:rsidP="00E951C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E0320">
        <w:rPr>
          <w:rFonts w:ascii="Times New Roman" w:hAnsi="Times New Roman"/>
          <w:sz w:val="23"/>
          <w:szCs w:val="23"/>
        </w:rPr>
        <w:t xml:space="preserve">г. Богданович                                                                                                      </w:t>
      </w:r>
      <w:proofErr w:type="gramStart"/>
      <w:r w:rsidRPr="000E0320">
        <w:rPr>
          <w:rFonts w:ascii="Times New Roman" w:hAnsi="Times New Roman"/>
          <w:sz w:val="23"/>
          <w:szCs w:val="23"/>
        </w:rPr>
        <w:t xml:space="preserve">   «</w:t>
      </w:r>
      <w:proofErr w:type="gramEnd"/>
      <w:r w:rsidRPr="000E0320">
        <w:rPr>
          <w:rFonts w:ascii="Times New Roman" w:hAnsi="Times New Roman"/>
          <w:sz w:val="23"/>
          <w:szCs w:val="23"/>
        </w:rPr>
        <w:t>__» _____ 2016 г.</w:t>
      </w:r>
    </w:p>
    <w:p w:rsidR="00E951CF" w:rsidRPr="000E0320" w:rsidRDefault="00E951CF" w:rsidP="00E95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0E0320">
        <w:rPr>
          <w:rFonts w:ascii="Times New Roman" w:eastAsiaTheme="minorHAnsi" w:hAnsi="Times New Roman"/>
          <w:b/>
          <w:bCs/>
          <w:sz w:val="23"/>
          <w:szCs w:val="23"/>
        </w:rPr>
        <w:t>Открытое акционерное общество «Богдановичский комбикормовый завод»</w:t>
      </w:r>
      <w:r w:rsidRPr="000E0320">
        <w:rPr>
          <w:rFonts w:ascii="Times New Roman" w:eastAsiaTheme="minorHAnsi" w:hAnsi="Times New Roman"/>
          <w:sz w:val="23"/>
          <w:szCs w:val="23"/>
        </w:rPr>
        <w:t>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0E0320">
        <w:rPr>
          <w:rFonts w:ascii="Times New Roman" w:eastAsiaTheme="minorHAnsi" w:hAnsi="Times New Roman"/>
          <w:b/>
          <w:bCs/>
          <w:sz w:val="23"/>
          <w:szCs w:val="23"/>
        </w:rPr>
        <w:t>__________________________</w:t>
      </w:r>
      <w:r w:rsidRPr="000E0320">
        <w:rPr>
          <w:rFonts w:ascii="Times New Roman" w:eastAsiaTheme="minorHAnsi" w:hAnsi="Times New Roman"/>
          <w:sz w:val="23"/>
          <w:szCs w:val="23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 2016 г., заключили настоящий договор о нижеследующем: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eastAsia="Times New Roman" w:hAnsi="Times New Roman"/>
          <w:caps/>
          <w:sz w:val="23"/>
          <w:szCs w:val="23"/>
          <w:lang w:eastAsia="ru-RU"/>
        </w:rPr>
      </w:pPr>
    </w:p>
    <w:p w:rsidR="00E951CF" w:rsidRPr="000E0320" w:rsidRDefault="00E951CF" w:rsidP="00E951CF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  <w:r w:rsidRPr="000E0320">
        <w:rPr>
          <w:rFonts w:ascii="Times New Roman" w:hAnsi="Times New Roman"/>
          <w:b/>
          <w:caps/>
          <w:sz w:val="23"/>
          <w:szCs w:val="23"/>
        </w:rPr>
        <w:t>1.Предмет договора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E0320">
        <w:rPr>
          <w:rFonts w:ascii="Times New Roman" w:hAnsi="Times New Roman"/>
          <w:sz w:val="23"/>
          <w:szCs w:val="23"/>
        </w:rPr>
        <w:t>1.1. «Поставщик» обязуется поставить, а «Покупатель» принять и оплатить следующий товар:</w:t>
      </w:r>
    </w:p>
    <w:bookmarkStart w:id="1" w:name="_MON_1529407068"/>
    <w:bookmarkEnd w:id="1"/>
    <w:p w:rsidR="00E951CF" w:rsidRPr="000E0320" w:rsidRDefault="00971A7A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eastAsia="Times New Roman" w:hAnsi="Times New Roman"/>
          <w:sz w:val="23"/>
          <w:szCs w:val="23"/>
          <w:lang w:eastAsia="zh-CN"/>
        </w:rPr>
        <w:object w:dxaOrig="11152" w:dyaOrig="1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66.65pt" o:ole="">
            <v:imagedata r:id="rId14" o:title=""/>
          </v:shape>
          <o:OLEObject Type="Embed" ProgID="Excel.Sheet.12" ShapeID="_x0000_i1025" DrawAspect="Content" ObjectID="_1529410024" r:id="rId15"/>
        </w:object>
      </w:r>
      <w:r w:rsidR="00E951CF" w:rsidRPr="000E0320">
        <w:rPr>
          <w:rFonts w:ascii="Times New Roman" w:hAnsi="Times New Roman"/>
          <w:sz w:val="23"/>
          <w:szCs w:val="23"/>
          <w:lang w:eastAsia="zh-CN"/>
        </w:rPr>
        <w:t xml:space="preserve"> 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E951CF" w:rsidRPr="000E0320" w:rsidRDefault="00E951CF" w:rsidP="00E951CF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0E0320">
        <w:rPr>
          <w:rFonts w:ascii="Times New Roman" w:hAnsi="Times New Roman"/>
          <w:b/>
          <w:smallCaps/>
          <w:sz w:val="23"/>
          <w:szCs w:val="23"/>
          <w:lang w:eastAsia="zh-CN"/>
        </w:rPr>
        <w:t xml:space="preserve">2. </w:t>
      </w:r>
      <w:r w:rsidRPr="000E0320">
        <w:rPr>
          <w:rFonts w:ascii="Times New Roman" w:hAnsi="Times New Roman"/>
          <w:b/>
          <w:sz w:val="23"/>
          <w:szCs w:val="23"/>
          <w:lang w:eastAsia="zh-CN"/>
        </w:rPr>
        <w:t>КАЧЕСТВО ТОВАРА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 xml:space="preserve">2.1. Качество </w:t>
      </w:r>
      <w:proofErr w:type="gramStart"/>
      <w:r w:rsidRPr="000E0320">
        <w:rPr>
          <w:rFonts w:ascii="Times New Roman" w:hAnsi="Times New Roman"/>
          <w:sz w:val="23"/>
          <w:szCs w:val="23"/>
          <w:lang w:eastAsia="zh-CN"/>
        </w:rPr>
        <w:t>товара</w:t>
      </w:r>
      <w:proofErr w:type="gramEnd"/>
      <w:r w:rsidRPr="000E0320">
        <w:rPr>
          <w:rFonts w:ascii="Times New Roman" w:hAnsi="Times New Roman"/>
          <w:sz w:val="23"/>
          <w:szCs w:val="23"/>
          <w:lang w:eastAsia="zh-CN"/>
        </w:rPr>
        <w:t xml:space="preserve"> поставляемого по настоящему Договору должно соответствовать ТУ 24.1-05766356-072:2010, также условиям настоящего договора:  </w:t>
      </w:r>
    </w:p>
    <w:tbl>
      <w:tblPr>
        <w:tblW w:w="1053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569"/>
        <w:gridCol w:w="853"/>
        <w:gridCol w:w="853"/>
        <w:gridCol w:w="853"/>
        <w:gridCol w:w="1793"/>
        <w:gridCol w:w="1134"/>
        <w:gridCol w:w="1134"/>
        <w:gridCol w:w="1059"/>
        <w:gridCol w:w="284"/>
      </w:tblGrid>
      <w:tr w:rsidR="00E951CF" w:rsidRPr="000E0320" w:rsidTr="00C304D1">
        <w:trPr>
          <w:trHeight w:hRule="exact" w:val="274"/>
        </w:trPr>
        <w:tc>
          <w:tcPr>
            <w:tcW w:w="102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Описательные параметры</w:t>
            </w:r>
          </w:p>
        </w:tc>
        <w:tc>
          <w:tcPr>
            <w:tcW w:w="28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951CF" w:rsidRPr="000E0320" w:rsidTr="00C304D1">
        <w:trPr>
          <w:trHeight w:hRule="exact" w:val="274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Наименование параметра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значение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Наименование параметра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значение</w:t>
            </w:r>
          </w:p>
        </w:tc>
        <w:tc>
          <w:tcPr>
            <w:tcW w:w="284" w:type="dxa"/>
            <w:vMerge/>
            <w:vAlign w:val="center"/>
            <w:hideMark/>
          </w:tcPr>
          <w:p w:rsidR="00E951CF" w:rsidRPr="000E0320" w:rsidRDefault="00E951CF" w:rsidP="00C304D1">
            <w:pPr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951CF" w:rsidRPr="000E0320" w:rsidTr="00C304D1">
        <w:trPr>
          <w:trHeight w:hRule="exact" w:val="357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Внешний вид, состояние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proofErr w:type="gramStart"/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Кристаллический .порошок</w:t>
            </w:r>
            <w:proofErr w:type="gramEnd"/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Цвет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светло- зеленый</w:t>
            </w:r>
          </w:p>
        </w:tc>
        <w:tc>
          <w:tcPr>
            <w:tcW w:w="284" w:type="dxa"/>
            <w:vMerge/>
            <w:vAlign w:val="center"/>
            <w:hideMark/>
          </w:tcPr>
          <w:p w:rsidR="00E951CF" w:rsidRPr="000E0320" w:rsidRDefault="00E951CF" w:rsidP="00C304D1">
            <w:pPr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951CF" w:rsidRPr="000E0320" w:rsidTr="00C304D1">
        <w:trPr>
          <w:trHeight w:hRule="exact" w:val="302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маркировка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этикетка</w:t>
            </w:r>
          </w:p>
        </w:tc>
        <w:tc>
          <w:tcPr>
            <w:tcW w:w="5120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E951CF" w:rsidRPr="000E0320" w:rsidRDefault="00E951CF" w:rsidP="00C304D1">
            <w:pPr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951CF" w:rsidRPr="000E0320" w:rsidTr="00C304D1">
        <w:trPr>
          <w:trHeight w:val="274"/>
        </w:trPr>
        <w:tc>
          <w:tcPr>
            <w:tcW w:w="102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Числовые параметры</w:t>
            </w:r>
          </w:p>
        </w:tc>
        <w:tc>
          <w:tcPr>
            <w:tcW w:w="284" w:type="dxa"/>
            <w:vMerge/>
            <w:vAlign w:val="center"/>
            <w:hideMark/>
          </w:tcPr>
          <w:p w:rsidR="00E951CF" w:rsidRPr="000E0320" w:rsidRDefault="00E951CF" w:rsidP="00C304D1">
            <w:pPr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951CF" w:rsidRPr="000E0320" w:rsidTr="00C304D1">
        <w:trPr>
          <w:trHeight w:hRule="exact" w:val="274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Наименование параметра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типовое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мин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макс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типовое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мин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макс</w:t>
            </w:r>
          </w:p>
        </w:tc>
        <w:tc>
          <w:tcPr>
            <w:tcW w:w="284" w:type="dxa"/>
            <w:vMerge/>
            <w:vAlign w:val="center"/>
            <w:hideMark/>
          </w:tcPr>
          <w:p w:rsidR="00E951CF" w:rsidRPr="000E0320" w:rsidRDefault="00E951CF" w:rsidP="00C304D1">
            <w:pPr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951CF" w:rsidRPr="000E0320" w:rsidTr="00C304D1">
        <w:trPr>
          <w:trHeight w:hRule="exact" w:val="526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 xml:space="preserve">Влага и </w:t>
            </w:r>
            <w:proofErr w:type="spellStart"/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лет.в-</w:t>
            </w:r>
            <w:proofErr w:type="gramStart"/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ва</w:t>
            </w:r>
            <w:proofErr w:type="spellEnd"/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 xml:space="preserve">  ,</w:t>
            </w:r>
            <w:proofErr w:type="gramEnd"/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 xml:space="preserve"> 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30.00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Железо(III), г/т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310000.00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370000.00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400000.00</w:t>
            </w:r>
          </w:p>
        </w:tc>
        <w:tc>
          <w:tcPr>
            <w:tcW w:w="284" w:type="dxa"/>
            <w:vMerge/>
            <w:vAlign w:val="center"/>
            <w:hideMark/>
          </w:tcPr>
          <w:p w:rsidR="00E951CF" w:rsidRPr="000E0320" w:rsidRDefault="00E951CF" w:rsidP="00C304D1">
            <w:pPr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951CF" w:rsidRPr="000E0320" w:rsidTr="00C304D1">
        <w:trPr>
          <w:trHeight w:hRule="exact" w:val="302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proofErr w:type="gramStart"/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 xml:space="preserve">Сера,   </w:t>
            </w:r>
            <w:proofErr w:type="gramEnd"/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 xml:space="preserve">  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115500.00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115500.00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115500.00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proofErr w:type="gramStart"/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Свинец ,г</w:t>
            </w:r>
            <w:proofErr w:type="gramEnd"/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/т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50.00</w:t>
            </w:r>
          </w:p>
        </w:tc>
        <w:tc>
          <w:tcPr>
            <w:tcW w:w="284" w:type="dxa"/>
            <w:vMerge/>
            <w:vAlign w:val="center"/>
            <w:hideMark/>
          </w:tcPr>
          <w:p w:rsidR="00E951CF" w:rsidRPr="000E0320" w:rsidRDefault="00E951CF" w:rsidP="00C304D1">
            <w:pPr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951CF" w:rsidRPr="000E0320" w:rsidTr="00C304D1">
        <w:trPr>
          <w:trHeight w:hRule="exact" w:val="362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Мышьяк,г</w:t>
            </w:r>
            <w:proofErr w:type="spellEnd"/>
            <w:proofErr w:type="gramEnd"/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50.00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Кадмий,г</w:t>
            </w:r>
            <w:proofErr w:type="spellEnd"/>
            <w:proofErr w:type="gramEnd"/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/т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0.40</w:t>
            </w:r>
          </w:p>
        </w:tc>
        <w:tc>
          <w:tcPr>
            <w:tcW w:w="284" w:type="dxa"/>
            <w:vMerge/>
            <w:vAlign w:val="center"/>
            <w:hideMark/>
          </w:tcPr>
          <w:p w:rsidR="00E951CF" w:rsidRPr="000E0320" w:rsidRDefault="00E951CF" w:rsidP="00C304D1">
            <w:pPr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951CF" w:rsidRPr="000E0320" w:rsidTr="00C304D1">
        <w:trPr>
          <w:trHeight w:hRule="exact" w:val="422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Ртуть,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0.10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proofErr w:type="gramStart"/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Фтор ,г</w:t>
            </w:r>
            <w:proofErr w:type="gramEnd"/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/т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C3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2000.00</w:t>
            </w:r>
          </w:p>
        </w:tc>
        <w:tc>
          <w:tcPr>
            <w:tcW w:w="284" w:type="dxa"/>
            <w:vMerge/>
            <w:vAlign w:val="center"/>
            <w:hideMark/>
          </w:tcPr>
          <w:p w:rsidR="00E951CF" w:rsidRPr="000E0320" w:rsidRDefault="00E951CF" w:rsidP="00C304D1">
            <w:pPr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</w:tbl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0E0320">
        <w:rPr>
          <w:rFonts w:ascii="Times New Roman" w:hAnsi="Times New Roman"/>
          <w:sz w:val="23"/>
          <w:szCs w:val="23"/>
        </w:rPr>
        <w:t>Правила приемки и метод отбора проб проводится в соответствии с ГОСТ ИСО-6497-2011.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E0320">
        <w:rPr>
          <w:rFonts w:ascii="Times New Roman" w:hAnsi="Times New Roman"/>
          <w:sz w:val="23"/>
          <w:szCs w:val="23"/>
        </w:rPr>
        <w:t>Происхождение: Украина.</w:t>
      </w:r>
    </w:p>
    <w:p w:rsidR="00E951CF" w:rsidRPr="000E0320" w:rsidRDefault="00E951CF" w:rsidP="00E951C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 xml:space="preserve">2.2. </w:t>
      </w:r>
      <w:r w:rsidRPr="000E0320">
        <w:rPr>
          <w:rFonts w:ascii="Times New Roman" w:hAnsi="Times New Roman"/>
          <w:sz w:val="23"/>
          <w:szCs w:val="23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E951CF" w:rsidRPr="000E0320" w:rsidRDefault="00E951CF" w:rsidP="00E951C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E0320">
        <w:rPr>
          <w:rFonts w:ascii="Times New Roman" w:hAnsi="Times New Roman"/>
          <w:sz w:val="23"/>
          <w:szCs w:val="23"/>
        </w:rPr>
        <w:t>Фактически поставляемая партия товара должна быть однородна по дате выработки и производителю.</w:t>
      </w:r>
    </w:p>
    <w:p w:rsidR="00E951CF" w:rsidRPr="000E0320" w:rsidRDefault="00E951CF" w:rsidP="00E951CF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E951CF" w:rsidRPr="000E0320" w:rsidRDefault="00E951CF" w:rsidP="00E951CF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0E0320">
        <w:rPr>
          <w:rFonts w:ascii="Times New Roman" w:hAnsi="Times New Roman"/>
          <w:b/>
          <w:sz w:val="23"/>
          <w:szCs w:val="23"/>
          <w:lang w:eastAsia="zh-CN"/>
        </w:rPr>
        <w:t>3. УСЛОВИЯ ПОСТАВКИ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3.1. Датой поставки считается дата поступления товара на склад «Покупателя».</w:t>
      </w:r>
    </w:p>
    <w:p w:rsidR="00E951CF" w:rsidRPr="000E0320" w:rsidRDefault="00E951CF" w:rsidP="00E951CF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0E0320">
        <w:rPr>
          <w:rFonts w:ascii="Times New Roman" w:hAnsi="Times New Roman" w:cs="Times New Roman"/>
          <w:sz w:val="23"/>
          <w:szCs w:val="23"/>
          <w:lang w:eastAsia="zh-CN"/>
        </w:rPr>
        <w:t xml:space="preserve">3.2. Поставка товара на склад «Покупателя» осуществляется автотранспортом «Поставщика» 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3.5. «Поставщик» отгружает товар в упаковке, соответствующей характеру поставляемого товара: полипропиленовые не ламинированные мешки емкость нетто 40 килограмм.</w:t>
      </w:r>
    </w:p>
    <w:p w:rsidR="00E951CF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lastRenderedPageBreak/>
        <w:t xml:space="preserve"> 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E951CF" w:rsidRPr="000E0320" w:rsidRDefault="00E951CF" w:rsidP="00E951CF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0E0320">
        <w:rPr>
          <w:rFonts w:ascii="Times New Roman" w:hAnsi="Times New Roman"/>
          <w:b/>
          <w:sz w:val="23"/>
          <w:szCs w:val="23"/>
          <w:lang w:eastAsia="zh-CN"/>
        </w:rPr>
        <w:t>4. УСЛОВИЯ ПРИЕМКИ ТОВАРА ПО КОЛИЧЕСТВУ И КАЧЕСТВУ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0E0320">
        <w:rPr>
          <w:rFonts w:ascii="Times New Roman" w:hAnsi="Times New Roman"/>
          <w:sz w:val="23"/>
          <w:szCs w:val="23"/>
          <w:lang w:eastAsia="zh-CN"/>
        </w:rPr>
        <w:t>качеству</w:t>
      </w:r>
      <w:proofErr w:type="gramEnd"/>
      <w:r w:rsidRPr="000E0320">
        <w:rPr>
          <w:rFonts w:ascii="Times New Roman" w:hAnsi="Times New Roman"/>
          <w:sz w:val="23"/>
          <w:szCs w:val="23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несоответствия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0E0320">
        <w:rPr>
          <w:rFonts w:ascii="Times New Roman" w:hAnsi="Times New Roman"/>
          <w:sz w:val="23"/>
          <w:szCs w:val="23"/>
          <w:lang w:eastAsia="zh-CN"/>
        </w:rPr>
        <w:t>качеству</w:t>
      </w:r>
      <w:proofErr w:type="gramEnd"/>
      <w:r w:rsidRPr="000E0320">
        <w:rPr>
          <w:rFonts w:ascii="Times New Roman" w:hAnsi="Times New Roman"/>
          <w:sz w:val="23"/>
          <w:szCs w:val="23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E951CF" w:rsidRPr="000E0320" w:rsidRDefault="00E951CF" w:rsidP="00E951CF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0E0320">
        <w:rPr>
          <w:rFonts w:ascii="Times New Roman" w:hAnsi="Times New Roman"/>
          <w:b/>
          <w:sz w:val="23"/>
          <w:szCs w:val="23"/>
          <w:lang w:eastAsia="zh-CN"/>
        </w:rPr>
        <w:t>5. ПОРЯДОК И ФОРМА РАСЧЕТОВ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 xml:space="preserve">5.1 «Покупатель» обязуется произвести оплату в течение 30 (тридцати) календарных дней по факту получения товара, при наличии у «Покупателя» оригинала </w:t>
      </w:r>
      <w:proofErr w:type="gramStart"/>
      <w:r w:rsidRPr="000E0320">
        <w:rPr>
          <w:rFonts w:ascii="Times New Roman" w:hAnsi="Times New Roman"/>
          <w:sz w:val="23"/>
          <w:szCs w:val="23"/>
          <w:lang w:eastAsia="zh-CN"/>
        </w:rPr>
        <w:t>настоящего договора</w:t>
      </w:r>
      <w:proofErr w:type="gramEnd"/>
      <w:r w:rsidRPr="000E0320">
        <w:rPr>
          <w:rFonts w:ascii="Times New Roman" w:hAnsi="Times New Roman"/>
          <w:sz w:val="23"/>
          <w:szCs w:val="23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lastRenderedPageBreak/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5.7. Проценты на сумму отсрочки оплаты товара не начисляются и не уплачиваются.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E951CF" w:rsidRPr="000E0320" w:rsidRDefault="00E951CF" w:rsidP="00E951CF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0E0320">
        <w:rPr>
          <w:rFonts w:ascii="Times New Roman" w:hAnsi="Times New Roman"/>
          <w:b/>
          <w:sz w:val="23"/>
          <w:szCs w:val="23"/>
          <w:lang w:eastAsia="zh-CN"/>
        </w:rPr>
        <w:t>6. ОТВЕТСТВЕННОСТЬ СТОРОН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0E0320">
        <w:rPr>
          <w:rFonts w:ascii="Times New Roman" w:hAnsi="Times New Roman"/>
          <w:sz w:val="23"/>
          <w:szCs w:val="23"/>
          <w:lang w:eastAsia="zh-CN"/>
        </w:rPr>
        <w:t>товара</w:t>
      </w:r>
      <w:proofErr w:type="gramEnd"/>
      <w:r w:rsidRPr="000E0320">
        <w:rPr>
          <w:rFonts w:ascii="Times New Roman" w:hAnsi="Times New Roman"/>
          <w:sz w:val="23"/>
          <w:szCs w:val="23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 в соответствии с п. 1.1. договора.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shd w:val="clear" w:color="auto" w:fill="FFFF00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6.4.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 xml:space="preserve">6.9. В случае </w:t>
      </w:r>
      <w:proofErr w:type="gramStart"/>
      <w:r w:rsidRPr="000E0320">
        <w:rPr>
          <w:rFonts w:ascii="Times New Roman" w:hAnsi="Times New Roman"/>
          <w:sz w:val="23"/>
          <w:szCs w:val="23"/>
          <w:lang w:eastAsia="zh-CN"/>
        </w:rPr>
        <w:t>не выполнения</w:t>
      </w:r>
      <w:proofErr w:type="gramEnd"/>
      <w:r w:rsidRPr="000E0320">
        <w:rPr>
          <w:rFonts w:ascii="Times New Roman" w:hAnsi="Times New Roman"/>
          <w:sz w:val="23"/>
          <w:szCs w:val="23"/>
          <w:lang w:eastAsia="zh-CN"/>
        </w:rPr>
        <w:t xml:space="preserve">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 xml:space="preserve">6.10. «Покупатель» в одностороннем порядке вправе отказаться от приемки и/или оплаты товара в случае </w:t>
      </w:r>
      <w:proofErr w:type="gramStart"/>
      <w:r w:rsidRPr="000E0320">
        <w:rPr>
          <w:rFonts w:ascii="Times New Roman" w:hAnsi="Times New Roman"/>
          <w:sz w:val="23"/>
          <w:szCs w:val="23"/>
          <w:lang w:eastAsia="zh-CN"/>
        </w:rPr>
        <w:t>не выполнения</w:t>
      </w:r>
      <w:proofErr w:type="gramEnd"/>
      <w:r w:rsidRPr="000E0320">
        <w:rPr>
          <w:rFonts w:ascii="Times New Roman" w:hAnsi="Times New Roman"/>
          <w:sz w:val="23"/>
          <w:szCs w:val="23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6.12. 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6.13. 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E951CF" w:rsidRPr="000E0320" w:rsidRDefault="00E951CF" w:rsidP="00E951CF">
      <w:pPr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lastRenderedPageBreak/>
        <w:t>6.14.</w:t>
      </w:r>
      <w:r w:rsidRPr="000E0320">
        <w:rPr>
          <w:rFonts w:ascii="Times New Roman" w:eastAsiaTheme="minorHAnsi" w:hAnsi="Times New Roman"/>
          <w:color w:val="000000"/>
          <w:sz w:val="23"/>
          <w:szCs w:val="23"/>
          <w:shd w:val="clear" w:color="auto" w:fill="FFFFFF"/>
        </w:rPr>
        <w:t xml:space="preserve"> Покупатель вправе потребовать возмещения Поставщиком убытков в полной сумме сверх неустойки (штрафная неустойка).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E951CF" w:rsidRPr="000E0320" w:rsidRDefault="00E951CF" w:rsidP="00E951CF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0E0320">
        <w:rPr>
          <w:rFonts w:ascii="Times New Roman" w:hAnsi="Times New Roman"/>
          <w:b/>
          <w:sz w:val="23"/>
          <w:szCs w:val="23"/>
          <w:lang w:eastAsia="zh-CN"/>
        </w:rPr>
        <w:t>7. ПОРЯДОК РАЗРЕШЕНИЯ СПОРОВ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E951CF" w:rsidRPr="000E0320" w:rsidRDefault="00E951CF" w:rsidP="00E951CF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0E0320">
        <w:rPr>
          <w:rFonts w:ascii="Times New Roman" w:hAnsi="Times New Roman"/>
          <w:b/>
          <w:sz w:val="23"/>
          <w:szCs w:val="23"/>
          <w:lang w:eastAsia="zh-CN"/>
        </w:rPr>
        <w:t>8. СРОК ДЕЙСТВИЯ ДОГОВОРА И ПРОЧИЕ УСЛОВИЯ.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0E0320">
        <w:rPr>
          <w:rFonts w:ascii="Times New Roman" w:hAnsi="Times New Roman"/>
          <w:sz w:val="23"/>
          <w:szCs w:val="23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0E0320">
        <w:rPr>
          <w:rFonts w:ascii="Times New Roman" w:hAnsi="Times New Roman"/>
          <w:sz w:val="23"/>
          <w:szCs w:val="23"/>
        </w:rPr>
        <w:t>соответствующих дополнительных соглашений</w:t>
      </w:r>
      <w:proofErr w:type="gramEnd"/>
      <w:r w:rsidRPr="000E0320">
        <w:rPr>
          <w:rFonts w:ascii="Times New Roman" w:hAnsi="Times New Roman"/>
          <w:sz w:val="23"/>
          <w:szCs w:val="23"/>
        </w:rPr>
        <w:t xml:space="preserve"> являющихся приложениями к настоящему договору.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E0320">
        <w:rPr>
          <w:rFonts w:ascii="Times New Roman" w:hAnsi="Times New Roman"/>
          <w:sz w:val="23"/>
          <w:szCs w:val="23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E0320">
        <w:rPr>
          <w:rFonts w:ascii="Times New Roman" w:hAnsi="Times New Roman"/>
          <w:sz w:val="23"/>
          <w:szCs w:val="23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E0320">
        <w:rPr>
          <w:rFonts w:ascii="Times New Roman" w:hAnsi="Times New Roman"/>
          <w:sz w:val="23"/>
          <w:szCs w:val="23"/>
        </w:rPr>
        <w:t>8.4. Договор вступает в силу с момента подписания и действует до 31.12.2016.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E0320">
        <w:rPr>
          <w:rFonts w:ascii="Times New Roman" w:hAnsi="Times New Roman"/>
          <w:sz w:val="23"/>
          <w:szCs w:val="23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E0320">
        <w:rPr>
          <w:rFonts w:ascii="Times New Roman" w:hAnsi="Times New Roman"/>
          <w:sz w:val="23"/>
          <w:szCs w:val="23"/>
        </w:rPr>
        <w:t xml:space="preserve">8.6. Договор и связанные с ним документы, переданные посредством факсимильной связи, </w:t>
      </w:r>
      <w:proofErr w:type="gramStart"/>
      <w:r w:rsidRPr="000E0320">
        <w:rPr>
          <w:rFonts w:ascii="Times New Roman" w:hAnsi="Times New Roman"/>
          <w:sz w:val="23"/>
          <w:szCs w:val="23"/>
        </w:rPr>
        <w:t>графические копии</w:t>
      </w:r>
      <w:proofErr w:type="gramEnd"/>
      <w:r w:rsidRPr="000E0320">
        <w:rPr>
          <w:rFonts w:ascii="Times New Roman" w:hAnsi="Times New Roman"/>
          <w:sz w:val="23"/>
          <w:szCs w:val="23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0E0320">
        <w:rPr>
          <w:rFonts w:ascii="Times New Roman" w:eastAsiaTheme="minorHAnsi" w:hAnsi="Times New Roman"/>
          <w:sz w:val="23"/>
          <w:szCs w:val="23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0E0320">
        <w:rPr>
          <w:rFonts w:ascii="Times New Roman" w:eastAsiaTheme="minorHAnsi" w:hAnsi="Times New Roman"/>
          <w:sz w:val="23"/>
          <w:szCs w:val="23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E951CF" w:rsidRPr="000E0320" w:rsidRDefault="00E951CF" w:rsidP="00E951CF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</w:p>
    <w:p w:rsidR="00E951CF" w:rsidRPr="000E0320" w:rsidRDefault="00E951CF" w:rsidP="00E951CF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  <w:r w:rsidRPr="000E0320">
        <w:rPr>
          <w:rFonts w:ascii="Times New Roman" w:hAnsi="Times New Roman"/>
          <w:b/>
          <w:caps/>
          <w:sz w:val="23"/>
          <w:szCs w:val="23"/>
        </w:rPr>
        <w:t>9. Адреса и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E951CF" w:rsidRPr="00E951C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«ПОКУПАТЕЛЬ»</w:t>
            </w:r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Полное наименование: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Открытое акционерное общество «Богдановичский комбикормовый завод».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Сокращенное наименование: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ОАО «Богдановичский комбикормовый завод».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ИНН </w:t>
            </w:r>
            <w:proofErr w:type="gramStart"/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6605002100,  КПП</w:t>
            </w:r>
            <w:proofErr w:type="gramEnd"/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660850001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ОКПО </w:t>
            </w:r>
            <w:proofErr w:type="gramStart"/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04537234,  ОГРН</w:t>
            </w:r>
            <w:proofErr w:type="gramEnd"/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1026600705790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р/с № 40702810800090000244, Филиал АКБ "Легион" (АО) в г. Екатеринбург в Уральском ГУ Банка России к/с </w:t>
            </w:r>
            <w:proofErr w:type="gramStart"/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30101810465770000405  БИК</w:t>
            </w:r>
            <w:proofErr w:type="gramEnd"/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046577405.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Тел./факс: (34376) 556-81     </w:t>
            </w:r>
          </w:p>
          <w:p w:rsidR="00E951CF" w:rsidRPr="00C304D1" w:rsidRDefault="00E951CF" w:rsidP="00E9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</w:pPr>
            <w:r w:rsidRPr="00C304D1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 xml:space="preserve">e-mail: </w:t>
            </w:r>
            <w:r w:rsidRPr="00C304D1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hyperlink r:id="rId16" w:history="1">
              <w:r w:rsidRPr="00C304D1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val="en-US" w:eastAsia="ru-RU"/>
                </w:rPr>
                <w:t>omts@combikorm.ru</w:t>
              </w:r>
            </w:hyperlink>
            <w:r w:rsidRPr="00C304D1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 xml:space="preserve">, </w:t>
            </w:r>
            <w:hyperlink r:id="rId17" w:history="1">
              <w:r w:rsidRPr="00C304D1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val="en-US" w:eastAsia="ru-RU"/>
                </w:rPr>
                <w:t>snab@combikorm.ru</w:t>
              </w:r>
            </w:hyperlink>
          </w:p>
          <w:p w:rsidR="00E951CF" w:rsidRPr="00C304D1" w:rsidRDefault="00E951CF" w:rsidP="00E9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«ПОСТАВЩИК»</w:t>
            </w:r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Полное наименование: __________________</w:t>
            </w:r>
            <w:r w:rsidRPr="00E951C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Сокращенное наименование: _____________.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Место нахождения: _____________________.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ИНН __________, КПП _________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ОГРН _____________, ОКПО ________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Р/с __________________________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_____________________________________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К/</w:t>
            </w:r>
            <w:proofErr w:type="gramStart"/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</w:t>
            </w:r>
            <w:proofErr w:type="gramEnd"/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____________________, БИК _________.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Тел./факс: 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e-</w:t>
            </w:r>
            <w:proofErr w:type="spellStart"/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mail</w:t>
            </w:r>
            <w:proofErr w:type="spellEnd"/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:  </w:t>
            </w:r>
            <w:proofErr w:type="gramEnd"/>
          </w:p>
        </w:tc>
      </w:tr>
      <w:tr w:rsidR="00E951CF" w:rsidRPr="00E951C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Генеральный директор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____________________ Буксман В.В.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________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____________________ __________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8"/>
      <w:footerReference w:type="default" r:id="rId19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4D1" w:rsidRDefault="00C304D1" w:rsidP="00D72456">
      <w:pPr>
        <w:spacing w:after="0" w:line="240" w:lineRule="auto"/>
      </w:pPr>
      <w:r>
        <w:separator/>
      </w:r>
    </w:p>
  </w:endnote>
  <w:endnote w:type="continuationSeparator" w:id="0">
    <w:p w:rsidR="00C304D1" w:rsidRDefault="00C304D1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C304D1" w:rsidTr="00716CC7">
      <w:tc>
        <w:tcPr>
          <w:tcW w:w="3708" w:type="dxa"/>
        </w:tcPr>
        <w:p w:rsidR="00C304D1" w:rsidRDefault="00C304D1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C304D1" w:rsidRDefault="00C304D1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C304D1" w:rsidRDefault="00C304D1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C304D1" w:rsidTr="00716CC7">
      <w:tc>
        <w:tcPr>
          <w:tcW w:w="3708" w:type="dxa"/>
          <w:hideMark/>
        </w:tcPr>
        <w:p w:rsidR="00C304D1" w:rsidRDefault="00C304D1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C304D1" w:rsidRDefault="00C304D1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C304D1" w:rsidRDefault="00C304D1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C304D1" w:rsidRDefault="00C304D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4D1" w:rsidRDefault="00C304D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4D1" w:rsidRDefault="00C304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4D1" w:rsidRDefault="00C304D1" w:rsidP="00D72456">
      <w:pPr>
        <w:spacing w:after="0" w:line="240" w:lineRule="auto"/>
      </w:pPr>
      <w:r>
        <w:separator/>
      </w:r>
    </w:p>
  </w:footnote>
  <w:footnote w:type="continuationSeparator" w:id="0">
    <w:p w:rsidR="00C304D1" w:rsidRDefault="00C304D1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4D1" w:rsidRPr="00871A57" w:rsidRDefault="00C304D1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C304D1" w:rsidRPr="001D3871" w:rsidRDefault="00C304D1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3038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07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>июля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4D1" w:rsidRPr="00871A57" w:rsidRDefault="00C304D1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C304D1" w:rsidRPr="001D3871" w:rsidRDefault="00C304D1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971A7A">
      <w:rPr>
        <w:rFonts w:ascii="Times New Roman" w:hAnsi="Times New Roman"/>
        <w:b/>
        <w:smallCaps/>
        <w:sz w:val="24"/>
        <w:szCs w:val="24"/>
      </w:rPr>
      <w:t>3038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971A7A">
      <w:rPr>
        <w:rFonts w:ascii="Times New Roman" w:hAnsi="Times New Roman"/>
        <w:b/>
        <w:smallCaps/>
        <w:sz w:val="24"/>
        <w:szCs w:val="24"/>
      </w:rPr>
      <w:t>07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971A7A">
      <w:rPr>
        <w:rFonts w:ascii="Times New Roman" w:hAnsi="Times New Roman"/>
        <w:b/>
        <w:smallCaps/>
        <w:sz w:val="24"/>
        <w:szCs w:val="24"/>
      </w:rPr>
      <w:t>июл</w:t>
    </w:r>
    <w:r>
      <w:rPr>
        <w:rFonts w:ascii="Times New Roman" w:hAnsi="Times New Roman"/>
        <w:b/>
        <w:smallCaps/>
        <w:sz w:val="24"/>
        <w:szCs w:val="24"/>
      </w:rPr>
      <w:t>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4D1" w:rsidRPr="00871A57" w:rsidRDefault="00C304D1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C304D1" w:rsidRPr="001D3871" w:rsidRDefault="00C304D1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971A7A">
      <w:rPr>
        <w:rFonts w:ascii="Times New Roman" w:hAnsi="Times New Roman"/>
        <w:b/>
        <w:smallCaps/>
        <w:sz w:val="24"/>
        <w:szCs w:val="24"/>
      </w:rPr>
      <w:t>3038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971A7A">
      <w:rPr>
        <w:rFonts w:ascii="Times New Roman" w:hAnsi="Times New Roman"/>
        <w:b/>
        <w:smallCaps/>
        <w:sz w:val="24"/>
        <w:szCs w:val="24"/>
      </w:rPr>
      <w:t>0</w:t>
    </w:r>
    <w:r>
      <w:rPr>
        <w:rFonts w:ascii="Times New Roman" w:hAnsi="Times New Roman"/>
        <w:b/>
        <w:smallCaps/>
        <w:sz w:val="24"/>
        <w:szCs w:val="24"/>
      </w:rPr>
      <w:t>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971A7A">
      <w:rPr>
        <w:rFonts w:ascii="Times New Roman" w:hAnsi="Times New Roman"/>
        <w:b/>
        <w:smallCaps/>
        <w:sz w:val="24"/>
        <w:szCs w:val="24"/>
      </w:rPr>
      <w:t>июл</w:t>
    </w:r>
    <w:r>
      <w:rPr>
        <w:rFonts w:ascii="Times New Roman" w:hAnsi="Times New Roman"/>
        <w:b/>
        <w:smallCaps/>
        <w:sz w:val="24"/>
        <w:szCs w:val="24"/>
      </w:rPr>
      <w:t>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1A7A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304D1"/>
    <w:rsid w:val="00C45663"/>
    <w:rsid w:val="00C46261"/>
    <w:rsid w:val="00C46E8A"/>
    <w:rsid w:val="00C54727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1CF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nab@combik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mts@combikor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02DA0-6163-43AF-8DA5-EF01E92D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3800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25416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2016-07-07T10:21:00Z</cp:lastPrinted>
  <dcterms:created xsi:type="dcterms:W3CDTF">2016-07-07T09:33:00Z</dcterms:created>
  <dcterms:modified xsi:type="dcterms:W3CDTF">2016-07-07T10:21:00Z</dcterms:modified>
</cp:coreProperties>
</file>